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0565" w14:textId="77777777" w:rsidR="00B36EC1" w:rsidRPr="006404EE" w:rsidRDefault="00B36EC1" w:rsidP="00B36EC1">
      <w:pPr>
        <w:pStyle w:val="Titre"/>
        <w:rPr>
          <w:rFonts w:ascii="Calibri" w:hAnsi="Calibri" w:cs="Calibri"/>
          <w:color w:val="auto"/>
          <w:lang w:val="en-US"/>
        </w:rPr>
      </w:pPr>
      <w:r w:rsidRPr="006404EE">
        <w:rPr>
          <w:rFonts w:ascii="Calibri" w:hAnsi="Calibri" w:cs="Calibri"/>
          <w:color w:val="auto"/>
          <w:lang w:val="en-US"/>
        </w:rPr>
        <w:t xml:space="preserve">Listing act </w:t>
      </w:r>
    </w:p>
    <w:p w14:paraId="44B3B9AD" w14:textId="3B4D6111" w:rsidR="00B36EC1" w:rsidRPr="006404EE" w:rsidRDefault="00B36EC1" w:rsidP="00B36EC1">
      <w:pPr>
        <w:pStyle w:val="Sous-titre"/>
        <w:jc w:val="left"/>
        <w:rPr>
          <w:rFonts w:ascii="Calibri" w:hAnsi="Calibri" w:cs="Calibri"/>
          <w:color w:val="auto"/>
          <w:lang w:val="en-US"/>
        </w:rPr>
      </w:pPr>
      <w:r w:rsidRPr="006404EE">
        <w:rPr>
          <w:rFonts w:ascii="Calibri" w:hAnsi="Calibri" w:cs="Calibri"/>
          <w:color w:val="auto"/>
          <w:lang w:val="en-US"/>
        </w:rPr>
        <w:t>Prospectus supplements – ESMA’s consultation</w:t>
      </w:r>
    </w:p>
    <w:p w14:paraId="5F52B7A1" w14:textId="62993E8C" w:rsidR="00B36EC1" w:rsidRPr="006404EE" w:rsidRDefault="004E373F" w:rsidP="00B36EC1">
      <w:pPr>
        <w:spacing w:before="160" w:line="240" w:lineRule="auto"/>
        <w:rPr>
          <w:rStyle w:val="Accentuationlgre"/>
          <w:rFonts w:ascii="Calibri" w:hAnsi="Calibri" w:cs="Calibri"/>
          <w:color w:val="auto"/>
          <w:lang w:val="en-US"/>
        </w:rPr>
      </w:pPr>
      <w:r w:rsidRPr="006404EE">
        <w:rPr>
          <w:rStyle w:val="Accentuationlgre"/>
          <w:rFonts w:ascii="Calibri" w:hAnsi="Calibri" w:cs="Calibri"/>
          <w:color w:val="auto"/>
          <w:highlight w:val="yellow"/>
          <w:lang w:val="en-US"/>
        </w:rPr>
        <w:t>[</w:t>
      </w:r>
      <w:r w:rsidR="00672E25" w:rsidRPr="006404EE">
        <w:rPr>
          <w:rStyle w:val="Accentuationlgre"/>
          <w:rFonts w:ascii="Calibri" w:hAnsi="Calibri" w:cs="Calibri"/>
          <w:i/>
          <w:color w:val="auto"/>
          <w:highlight w:val="yellow"/>
          <w:lang w:val="en-US"/>
        </w:rPr>
        <w:t>name of the relevant issuer</w:t>
      </w:r>
      <w:r w:rsidRPr="006404EE">
        <w:rPr>
          <w:rStyle w:val="Accentuationlgre"/>
          <w:rFonts w:ascii="Calibri" w:hAnsi="Calibri" w:cs="Calibri"/>
          <w:color w:val="auto"/>
          <w:highlight w:val="yellow"/>
          <w:lang w:val="en-US"/>
        </w:rPr>
        <w:t>]</w:t>
      </w:r>
      <w:r w:rsidR="00B36EC1" w:rsidRPr="006404EE">
        <w:rPr>
          <w:rStyle w:val="Accentuationlgre"/>
          <w:rFonts w:ascii="Calibri" w:hAnsi="Calibri" w:cs="Calibri"/>
          <w:color w:val="auto"/>
          <w:lang w:val="en-US"/>
        </w:rPr>
        <w:t>’s answer</w:t>
      </w:r>
    </w:p>
    <w:p w14:paraId="035B7987" w14:textId="77777777" w:rsidR="00B36EC1" w:rsidRPr="006404EE" w:rsidRDefault="00B36EC1" w:rsidP="00B36EC1">
      <w:pPr>
        <w:pBdr>
          <w:bottom w:val="single" w:sz="4" w:space="1" w:color="116B95" w:themeColor="accent2"/>
        </w:pBdr>
        <w:rPr>
          <w:rStyle w:val="Titredulivre"/>
          <w:rFonts w:cs="Calibri"/>
          <w:b w:val="0"/>
          <w:bCs w:val="0"/>
          <w:i w:val="0"/>
          <w:iCs w:val="0"/>
          <w:sz w:val="20"/>
          <w:lang w:val="en-US"/>
        </w:rPr>
      </w:pPr>
    </w:p>
    <w:p w14:paraId="6751E1F1" w14:textId="77777777" w:rsidR="00B36EC1" w:rsidRPr="006404EE" w:rsidRDefault="00B36EC1" w:rsidP="00B36EC1">
      <w:pPr>
        <w:pStyle w:val="descriptifAMAFI"/>
        <w:rPr>
          <w:i w:val="0"/>
          <w:noProof w:val="0"/>
          <w:szCs w:val="20"/>
          <w:lang w:val="en-US" w:eastAsia="en-US"/>
          <w14:ligatures w14:val="standardContextual"/>
        </w:rPr>
      </w:pPr>
    </w:p>
    <w:p w14:paraId="378DB199" w14:textId="59CC9A52" w:rsidR="00B36EC1" w:rsidRPr="006404EE" w:rsidRDefault="004E373F" w:rsidP="00627FB4">
      <w:pPr>
        <w:rPr>
          <w:rFonts w:cs="Calibri"/>
          <w:lang w:val="en-US"/>
        </w:rPr>
      </w:pPr>
      <w:r w:rsidRPr="006404EE">
        <w:rPr>
          <w:rFonts w:cs="Calibri"/>
          <w:lang w:val="en-US"/>
        </w:rPr>
        <w:t xml:space="preserve">We, </w:t>
      </w:r>
      <w:r w:rsidRPr="006404EE">
        <w:rPr>
          <w:rFonts w:cs="Calibri"/>
          <w:highlight w:val="yellow"/>
          <w:lang w:val="en-US"/>
        </w:rPr>
        <w:t>[</w:t>
      </w:r>
      <w:r w:rsidR="00672E25" w:rsidRPr="006404EE">
        <w:rPr>
          <w:rFonts w:cs="Calibri"/>
          <w:i/>
          <w:highlight w:val="yellow"/>
          <w:lang w:val="en-US"/>
        </w:rPr>
        <w:t>name of the relevant issuer</w:t>
      </w:r>
      <w:r w:rsidRPr="006404EE">
        <w:rPr>
          <w:rFonts w:cs="Calibri"/>
          <w:highlight w:val="yellow"/>
          <w:lang w:val="en-US"/>
        </w:rPr>
        <w:t>]</w:t>
      </w:r>
      <w:r w:rsidRPr="006404EE">
        <w:rPr>
          <w:rFonts w:cs="Calibri"/>
          <w:lang w:val="en-US"/>
        </w:rPr>
        <w:t>, welcome</w:t>
      </w:r>
      <w:r w:rsidR="00B36EC1" w:rsidRPr="006404EE">
        <w:rPr>
          <w:rFonts w:cs="Calibri"/>
          <w:lang w:val="en-US"/>
        </w:rPr>
        <w:t xml:space="preserve"> the opportunity to respond to </w:t>
      </w:r>
      <w:hyperlink r:id="rId11" w:history="1">
        <w:r w:rsidR="00B36EC1" w:rsidRPr="006404EE">
          <w:rPr>
            <w:rFonts w:cs="Calibri"/>
            <w:lang w:val="en-US"/>
          </w:rPr>
          <w:t>ESMA's Consultation</w:t>
        </w:r>
      </w:hyperlink>
      <w:r w:rsidR="00B36EC1" w:rsidRPr="006404EE">
        <w:rPr>
          <w:rFonts w:cs="Calibri"/>
          <w:lang w:val="en-US"/>
        </w:rPr>
        <w:t xml:space="preserve"> on the draft guideline</w:t>
      </w:r>
      <w:r w:rsidR="00500756" w:rsidRPr="006404EE">
        <w:rPr>
          <w:rFonts w:cs="Calibri"/>
          <w:lang w:val="en-US"/>
        </w:rPr>
        <w:t>s</w:t>
      </w:r>
      <w:r w:rsidR="00627FB4" w:rsidRPr="006404EE">
        <w:rPr>
          <w:rFonts w:cs="Calibri"/>
          <w:lang w:val="en-US"/>
        </w:rPr>
        <w:t xml:space="preserve"> on supplements which introduce new securities to a base prospectus.</w:t>
      </w:r>
    </w:p>
    <w:p w14:paraId="7352AEED" w14:textId="304CF7E8" w:rsidR="00C47E4F" w:rsidRPr="006404EE" w:rsidRDefault="00FB7DFF" w:rsidP="00C47E4F">
      <w:pPr>
        <w:rPr>
          <w:rFonts w:cs="Calibri"/>
          <w:lang w:val="en-US"/>
        </w:rPr>
      </w:pPr>
      <w:r w:rsidRPr="006404EE">
        <w:rPr>
          <w:rFonts w:cs="Calibri"/>
          <w:lang w:val="en-US"/>
        </w:rPr>
        <w:t xml:space="preserve">As an introductory comment, </w:t>
      </w:r>
      <w:r w:rsidR="00C47E4F" w:rsidRPr="006404EE">
        <w:rPr>
          <w:rFonts w:cs="Calibri"/>
          <w:lang w:val="en-US"/>
        </w:rPr>
        <w:t>we fully understand the concern to prevent a new</w:t>
      </w:r>
      <w:r w:rsidR="008C3DF4" w:rsidRPr="006404EE">
        <w:rPr>
          <w:rFonts w:cs="Calibri"/>
          <w:lang w:val="en-US"/>
        </w:rPr>
        <w:t xml:space="preserve"> type of</w:t>
      </w:r>
      <w:r w:rsidR="00C47E4F" w:rsidRPr="006404EE">
        <w:rPr>
          <w:rFonts w:cs="Calibri"/>
          <w:lang w:val="en-US"/>
        </w:rPr>
        <w:t xml:space="preserve"> security </w:t>
      </w:r>
      <w:r w:rsidR="008C3DF4" w:rsidRPr="006404EE">
        <w:rPr>
          <w:rFonts w:cs="Calibri"/>
          <w:lang w:val="en-US"/>
        </w:rPr>
        <w:t xml:space="preserve">for which the necessary information has not been included in the base prospectus </w:t>
      </w:r>
      <w:r w:rsidR="00C47E4F" w:rsidRPr="006404EE">
        <w:rPr>
          <w:rFonts w:cs="Calibri"/>
          <w:lang w:val="en-US"/>
        </w:rPr>
        <w:t xml:space="preserve">from being </w:t>
      </w:r>
      <w:r w:rsidR="008C3DF4" w:rsidRPr="006404EE">
        <w:rPr>
          <w:rFonts w:cs="Calibri"/>
          <w:lang w:val="en-US"/>
        </w:rPr>
        <w:t xml:space="preserve">introduced through </w:t>
      </w:r>
      <w:r w:rsidR="00C47E4F" w:rsidRPr="006404EE">
        <w:rPr>
          <w:rFonts w:cs="Calibri"/>
          <w:lang w:val="en-US"/>
        </w:rPr>
        <w:t xml:space="preserve">a supplement to </w:t>
      </w:r>
      <w:r w:rsidR="008C3DF4" w:rsidRPr="006404EE">
        <w:rPr>
          <w:rFonts w:cs="Calibri"/>
          <w:lang w:val="en-US"/>
        </w:rPr>
        <w:t>the</w:t>
      </w:r>
      <w:r w:rsidR="00C47E4F" w:rsidRPr="006404EE">
        <w:rPr>
          <w:rFonts w:cs="Calibri"/>
          <w:lang w:val="en-US"/>
        </w:rPr>
        <w:t xml:space="preserve"> base prospectus</w:t>
      </w:r>
      <w:r w:rsidR="00B542B8" w:rsidRPr="006404EE">
        <w:rPr>
          <w:rFonts w:cs="Calibri"/>
          <w:lang w:val="en-US"/>
        </w:rPr>
        <w:t>. W</w:t>
      </w:r>
      <w:r w:rsidR="00C47E4F" w:rsidRPr="006404EE">
        <w:rPr>
          <w:rFonts w:cs="Calibri"/>
          <w:lang w:val="en-US"/>
        </w:rPr>
        <w:t xml:space="preserve">e </w:t>
      </w:r>
      <w:r w:rsidR="009C6316" w:rsidRPr="006404EE">
        <w:rPr>
          <w:rFonts w:cs="Calibri"/>
          <w:lang w:val="en-US"/>
        </w:rPr>
        <w:t xml:space="preserve">therefore welcome </w:t>
      </w:r>
      <w:r w:rsidR="00C47E4F" w:rsidRPr="006404EE">
        <w:rPr>
          <w:rFonts w:cs="Calibri"/>
          <w:lang w:val="en-US"/>
        </w:rPr>
        <w:t xml:space="preserve">that the </w:t>
      </w:r>
      <w:r w:rsidR="00C8583A" w:rsidRPr="006404EE">
        <w:rPr>
          <w:rFonts w:cs="Calibri"/>
          <w:lang w:val="en-US"/>
        </w:rPr>
        <w:t>Listing Act Regulation (</w:t>
      </w:r>
      <w:r w:rsidR="00C8583A" w:rsidRPr="006404EE">
        <w:rPr>
          <w:rFonts w:cs="Calibri"/>
          <w:i/>
          <w:iCs/>
          <w:u w:val="single"/>
          <w:lang w:val="en-GB"/>
        </w:rPr>
        <w:t>Regulation (EU) 2024/2809</w:t>
      </w:r>
      <w:r w:rsidR="00C8583A" w:rsidRPr="006404EE">
        <w:rPr>
          <w:rFonts w:cs="Calibri"/>
          <w:lang w:val="en-US"/>
        </w:rPr>
        <w:t xml:space="preserve">) </w:t>
      </w:r>
      <w:r w:rsidR="00C47E4F" w:rsidRPr="006404EE">
        <w:rPr>
          <w:rFonts w:cs="Calibri"/>
          <w:lang w:val="en-US"/>
        </w:rPr>
        <w:t xml:space="preserve">has </w:t>
      </w:r>
      <w:r w:rsidR="00D07B96" w:rsidRPr="006404EE">
        <w:rPr>
          <w:rFonts w:cs="Calibri"/>
          <w:lang w:val="en-US"/>
        </w:rPr>
        <w:t>introduced to the</w:t>
      </w:r>
      <w:r w:rsidR="00C47E4F" w:rsidRPr="006404EE">
        <w:rPr>
          <w:rFonts w:cs="Calibri"/>
          <w:lang w:val="en-US"/>
        </w:rPr>
        <w:t xml:space="preserve"> Prospectus regulation</w:t>
      </w:r>
      <w:r w:rsidR="00C8583A" w:rsidRPr="006404EE">
        <w:rPr>
          <w:rFonts w:cs="Calibri"/>
          <w:lang w:val="en-US"/>
        </w:rPr>
        <w:t xml:space="preserve"> (</w:t>
      </w:r>
      <w:r w:rsidR="00C8583A" w:rsidRPr="006404EE">
        <w:rPr>
          <w:rFonts w:cs="Calibri"/>
          <w:i/>
          <w:iCs/>
          <w:u w:val="single"/>
          <w:lang w:val="en-GB"/>
        </w:rPr>
        <w:t>Regulation (EU) 2017/1129</w:t>
      </w:r>
      <w:r w:rsidR="00C8583A" w:rsidRPr="006404EE">
        <w:rPr>
          <w:rFonts w:cs="Calibri"/>
          <w:lang w:val="en-US"/>
        </w:rPr>
        <w:t xml:space="preserve">), or </w:t>
      </w:r>
      <w:r w:rsidR="009C6316" w:rsidRPr="006404EE">
        <w:rPr>
          <w:rFonts w:cs="Calibri"/>
          <w:lang w:val="en-US"/>
        </w:rPr>
        <w:t>“PR”</w:t>
      </w:r>
      <w:r w:rsidR="00D07B96" w:rsidRPr="006404EE">
        <w:rPr>
          <w:rFonts w:cs="Calibri"/>
          <w:lang w:val="en-US"/>
        </w:rPr>
        <w:t>,</w:t>
      </w:r>
      <w:r w:rsidR="006134F0" w:rsidRPr="006404EE">
        <w:rPr>
          <w:rFonts w:cs="Calibri"/>
          <w:lang w:val="en-US"/>
        </w:rPr>
        <w:t xml:space="preserve"> a provision according to which</w:t>
      </w:r>
      <w:r w:rsidR="00CF07DD" w:rsidRPr="006404EE">
        <w:rPr>
          <w:rFonts w:cs="Calibri"/>
          <w:lang w:val="en-US"/>
        </w:rPr>
        <w:t xml:space="preserve"> a</w:t>
      </w:r>
      <w:r w:rsidR="00CC4150" w:rsidRPr="006404EE">
        <w:rPr>
          <w:rFonts w:cs="Calibri"/>
          <w:lang w:val="en-US"/>
        </w:rPr>
        <w:t xml:space="preserve"> “</w:t>
      </w:r>
      <w:r w:rsidR="00CC4150" w:rsidRPr="006404EE">
        <w:rPr>
          <w:rFonts w:cs="Calibri"/>
          <w:i/>
          <w:iCs/>
          <w:lang w:val="en-GB"/>
        </w:rPr>
        <w:t>supplement to a base prospectus shall not be used to introduce a new type of security for which the necessary information has not been included in that base prospectus</w:t>
      </w:r>
      <w:r w:rsidR="006F3E28" w:rsidRPr="006404EE">
        <w:rPr>
          <w:rFonts w:cs="Calibri"/>
          <w:i/>
          <w:iCs/>
          <w:lang w:val="en-GB"/>
        </w:rPr>
        <w:t xml:space="preserve"> (…).</w:t>
      </w:r>
      <w:r w:rsidR="00CC4150" w:rsidRPr="006404EE">
        <w:rPr>
          <w:rFonts w:cs="Calibri"/>
          <w:lang w:val="en-GB"/>
        </w:rPr>
        <w:t>”</w:t>
      </w:r>
      <w:r w:rsidR="001F1AD9" w:rsidRPr="006404EE">
        <w:rPr>
          <w:rFonts w:cs="Calibri"/>
          <w:lang w:val="en-US"/>
        </w:rPr>
        <w:t xml:space="preserve"> (</w:t>
      </w:r>
      <w:r w:rsidR="001F1AD9" w:rsidRPr="006404EE">
        <w:rPr>
          <w:rFonts w:cs="Calibri"/>
          <w:i/>
          <w:iCs/>
          <w:u w:val="single"/>
          <w:lang w:val="en-US"/>
        </w:rPr>
        <w:t>PR, new art. 23.4a</w:t>
      </w:r>
      <w:r w:rsidR="001F1AD9" w:rsidRPr="006404EE">
        <w:rPr>
          <w:rFonts w:cs="Calibri"/>
          <w:lang w:val="en-US"/>
        </w:rPr>
        <w:t>)</w:t>
      </w:r>
    </w:p>
    <w:p w14:paraId="03E999E8" w14:textId="115371B3" w:rsidR="009C6316" w:rsidRPr="006404EE" w:rsidRDefault="009C6316" w:rsidP="00C47E4F">
      <w:pPr>
        <w:rPr>
          <w:rFonts w:cs="Calibri"/>
          <w:lang w:val="en-US"/>
        </w:rPr>
      </w:pPr>
      <w:r w:rsidRPr="006404EE">
        <w:rPr>
          <w:rFonts w:cs="Calibri"/>
          <w:lang w:val="en-US"/>
        </w:rPr>
        <w:t>We have however strong reservations about ESMA going beyond the text of the PR and stating that “</w:t>
      </w:r>
      <w:r w:rsidRPr="006404EE">
        <w:rPr>
          <w:rFonts w:cs="Calibri"/>
          <w:i/>
          <w:iCs/>
          <w:lang w:val="en-US"/>
        </w:rPr>
        <w:t>new types</w:t>
      </w:r>
      <w:r w:rsidR="00934290" w:rsidRPr="006404EE">
        <w:rPr>
          <w:rFonts w:cs="Calibri"/>
          <w:i/>
          <w:iCs/>
          <w:lang w:val="en-US"/>
        </w:rPr>
        <w:t xml:space="preserve"> of</w:t>
      </w:r>
      <w:r w:rsidRPr="006404EE">
        <w:rPr>
          <w:rFonts w:cs="Calibri"/>
          <w:i/>
          <w:iCs/>
          <w:lang w:val="en-US"/>
        </w:rPr>
        <w:t xml:space="preserve"> securit</w:t>
      </w:r>
      <w:r w:rsidR="00926722" w:rsidRPr="006404EE">
        <w:rPr>
          <w:rFonts w:cs="Calibri"/>
          <w:i/>
          <w:iCs/>
          <w:lang w:val="en-US"/>
        </w:rPr>
        <w:t>y</w:t>
      </w:r>
      <w:r w:rsidRPr="006404EE">
        <w:rPr>
          <w:rFonts w:cs="Calibri"/>
          <w:i/>
          <w:iCs/>
          <w:lang w:val="en-US"/>
        </w:rPr>
        <w:t xml:space="preserve"> </w:t>
      </w:r>
      <w:r w:rsidRPr="006404EE">
        <w:rPr>
          <w:rFonts w:cs="Calibri"/>
          <w:i/>
          <w:iCs/>
          <w:u w:val="single"/>
          <w:lang w:val="en-US"/>
        </w:rPr>
        <w:t>features</w:t>
      </w:r>
      <w:r w:rsidRPr="006404EE">
        <w:rPr>
          <w:rFonts w:cs="Calibri"/>
          <w:lang w:val="en-US"/>
        </w:rPr>
        <w:t>” would require the establishment of a base prospectus (</w:t>
      </w:r>
      <w:r w:rsidRPr="006404EE">
        <w:rPr>
          <w:rFonts w:cs="Calibri"/>
          <w:i/>
          <w:iCs/>
          <w:u w:val="single"/>
          <w:lang w:val="en-US"/>
        </w:rPr>
        <w:t>Draft guideline 1</w:t>
      </w:r>
      <w:r w:rsidRPr="006404EE">
        <w:rPr>
          <w:rFonts w:cs="Calibri"/>
          <w:lang w:val="en-US"/>
        </w:rPr>
        <w:t xml:space="preserve">). </w:t>
      </w:r>
      <w:r w:rsidR="00C8583A" w:rsidRPr="006404EE">
        <w:rPr>
          <w:rFonts w:cs="Calibri"/>
          <w:lang w:val="en-US"/>
        </w:rPr>
        <w:t xml:space="preserve">The PR does not </w:t>
      </w:r>
      <w:r w:rsidR="00937591" w:rsidRPr="006404EE">
        <w:rPr>
          <w:rFonts w:cs="Calibri"/>
          <w:lang w:val="en-US"/>
        </w:rPr>
        <w:t>prohibit the use of a supplement</w:t>
      </w:r>
      <w:r w:rsidR="00C8583A" w:rsidRPr="006404EE">
        <w:rPr>
          <w:rFonts w:cs="Calibri"/>
          <w:lang w:val="en-US"/>
        </w:rPr>
        <w:t xml:space="preserve"> each time </w:t>
      </w:r>
      <w:r w:rsidR="00C8583A" w:rsidRPr="006404EE">
        <w:rPr>
          <w:rFonts w:cs="Calibri"/>
          <w:i/>
          <w:iCs/>
          <w:lang w:val="en-US"/>
        </w:rPr>
        <w:t>new features</w:t>
      </w:r>
      <w:r w:rsidR="00C8583A" w:rsidRPr="006404EE">
        <w:rPr>
          <w:rFonts w:cs="Calibri"/>
          <w:lang w:val="en-US"/>
        </w:rPr>
        <w:t xml:space="preserve"> are added to securities that are governed by a base prospectus</w:t>
      </w:r>
      <w:r w:rsidR="00937591" w:rsidRPr="006404EE">
        <w:rPr>
          <w:rFonts w:cs="Calibri"/>
          <w:lang w:val="en-US"/>
        </w:rPr>
        <w:t>, but only</w:t>
      </w:r>
      <w:r w:rsidR="00DA1B8C" w:rsidRPr="006404EE">
        <w:rPr>
          <w:rFonts w:cs="Calibri"/>
          <w:lang w:val="en-US"/>
        </w:rPr>
        <w:t xml:space="preserve"> when a </w:t>
      </w:r>
      <w:r w:rsidR="00DA1B8C" w:rsidRPr="006404EE">
        <w:rPr>
          <w:rFonts w:cs="Calibri"/>
          <w:i/>
          <w:iCs/>
          <w:lang w:val="en-US"/>
        </w:rPr>
        <w:t>new type of security</w:t>
      </w:r>
      <w:r w:rsidR="00DA1B8C" w:rsidRPr="006404EE">
        <w:rPr>
          <w:rFonts w:cs="Calibri"/>
          <w:lang w:val="en-US"/>
        </w:rPr>
        <w:t xml:space="preserve"> is introduced</w:t>
      </w:r>
      <w:r w:rsidR="00C8583A" w:rsidRPr="006404EE">
        <w:rPr>
          <w:rFonts w:cs="Calibri"/>
          <w:lang w:val="en-US"/>
        </w:rPr>
        <w:t>.</w:t>
      </w:r>
    </w:p>
    <w:p w14:paraId="460DABC4" w14:textId="71B7C006" w:rsidR="00C47E4F" w:rsidRPr="006404EE" w:rsidRDefault="009C6316" w:rsidP="00C47E4F">
      <w:pPr>
        <w:rPr>
          <w:rFonts w:cs="Calibri"/>
          <w:lang w:val="en-US"/>
        </w:rPr>
      </w:pPr>
      <w:r w:rsidRPr="006404EE">
        <w:rPr>
          <w:rFonts w:cs="Calibri"/>
          <w:lang w:val="en-US"/>
        </w:rPr>
        <w:t>For example, allowing</w:t>
      </w:r>
      <w:r w:rsidR="00815178" w:rsidRPr="006404EE">
        <w:rPr>
          <w:rFonts w:cs="Calibri"/>
          <w:lang w:val="en-US"/>
        </w:rPr>
        <w:t xml:space="preserve"> a new type of</w:t>
      </w:r>
      <w:r w:rsidRPr="006404EE">
        <w:rPr>
          <w:rFonts w:cs="Calibri"/>
          <w:lang w:val="en-US"/>
        </w:rPr>
        <w:t xml:space="preserve"> </w:t>
      </w:r>
      <w:r w:rsidR="00C8583A" w:rsidRPr="006404EE">
        <w:rPr>
          <w:rFonts w:cs="Calibri"/>
          <w:lang w:val="en-US"/>
        </w:rPr>
        <w:t>pay-off</w:t>
      </w:r>
      <w:r w:rsidR="0064606A" w:rsidRPr="006404EE">
        <w:rPr>
          <w:rFonts w:cs="Calibri"/>
          <w:lang w:val="en-US"/>
        </w:rPr>
        <w:t xml:space="preserve"> in an already existing type of security</w:t>
      </w:r>
      <w:r w:rsidR="00C8583A" w:rsidRPr="006404EE">
        <w:rPr>
          <w:rFonts w:cs="Calibri"/>
          <w:lang w:val="en-US"/>
        </w:rPr>
        <w:t>, for example through a make-whole clause</w:t>
      </w:r>
      <w:r w:rsidR="00173B26" w:rsidRPr="006404EE">
        <w:rPr>
          <w:rFonts w:cs="Calibri"/>
          <w:lang w:val="en-US"/>
        </w:rPr>
        <w:t>,</w:t>
      </w:r>
      <w:r w:rsidR="00C8583A" w:rsidRPr="006404EE">
        <w:rPr>
          <w:rFonts w:cs="Calibri"/>
          <w:lang w:val="en-US"/>
        </w:rPr>
        <w:t xml:space="preserve"> is a </w:t>
      </w:r>
      <w:r w:rsidRPr="006404EE">
        <w:rPr>
          <w:rFonts w:cs="Calibri"/>
          <w:lang w:val="en-US"/>
        </w:rPr>
        <w:t xml:space="preserve">new feature that </w:t>
      </w:r>
      <w:r w:rsidR="00815178" w:rsidRPr="006404EE">
        <w:rPr>
          <w:rFonts w:cs="Calibri"/>
          <w:lang w:val="en-US"/>
        </w:rPr>
        <w:t>an issuer should be able to</w:t>
      </w:r>
      <w:r w:rsidRPr="006404EE">
        <w:rPr>
          <w:rFonts w:cs="Calibri"/>
          <w:lang w:val="en-US"/>
        </w:rPr>
        <w:t xml:space="preserve"> introduce by mean</w:t>
      </w:r>
      <w:r w:rsidR="00865CC5" w:rsidRPr="006404EE">
        <w:rPr>
          <w:rFonts w:cs="Calibri"/>
          <w:lang w:val="en-US"/>
        </w:rPr>
        <w:t>s</w:t>
      </w:r>
      <w:r w:rsidRPr="006404EE">
        <w:rPr>
          <w:rFonts w:cs="Calibri"/>
          <w:lang w:val="en-US"/>
        </w:rPr>
        <w:t xml:space="preserve"> of a </w:t>
      </w:r>
      <w:r w:rsidR="00815178" w:rsidRPr="006404EE">
        <w:rPr>
          <w:rFonts w:cs="Calibri"/>
          <w:lang w:val="en-US"/>
        </w:rPr>
        <w:t xml:space="preserve">supplement to a </w:t>
      </w:r>
      <w:r w:rsidRPr="006404EE">
        <w:rPr>
          <w:rFonts w:cs="Calibri"/>
          <w:lang w:val="en-US"/>
        </w:rPr>
        <w:t xml:space="preserve">base prospectus. It </w:t>
      </w:r>
      <w:r w:rsidR="00173B26" w:rsidRPr="006404EE">
        <w:rPr>
          <w:rFonts w:cs="Calibri"/>
          <w:lang w:val="en-US"/>
        </w:rPr>
        <w:t xml:space="preserve">does </w:t>
      </w:r>
      <w:r w:rsidRPr="006404EE">
        <w:rPr>
          <w:rFonts w:cs="Calibri"/>
          <w:lang w:val="en-US"/>
        </w:rPr>
        <w:t xml:space="preserve">not </w:t>
      </w:r>
      <w:r w:rsidR="00173B26" w:rsidRPr="006404EE">
        <w:rPr>
          <w:rFonts w:cs="Calibri"/>
          <w:lang w:val="en-US"/>
        </w:rPr>
        <w:t xml:space="preserve">introduce a </w:t>
      </w:r>
      <w:r w:rsidRPr="006404EE">
        <w:rPr>
          <w:rFonts w:cs="Calibri"/>
          <w:lang w:val="en-US"/>
        </w:rPr>
        <w:t>new type</w:t>
      </w:r>
      <w:r w:rsidR="00173B26" w:rsidRPr="006404EE">
        <w:rPr>
          <w:rFonts w:cs="Calibri"/>
          <w:lang w:val="en-US"/>
        </w:rPr>
        <w:t xml:space="preserve"> of security</w:t>
      </w:r>
      <w:r w:rsidRPr="006404EE">
        <w:rPr>
          <w:rFonts w:cs="Calibri"/>
          <w:lang w:val="en-US"/>
        </w:rPr>
        <w:t>, which, according to art. 23</w:t>
      </w:r>
      <w:r w:rsidR="00B45D42" w:rsidRPr="006404EE">
        <w:rPr>
          <w:rFonts w:cs="Calibri"/>
          <w:lang w:val="en-US"/>
        </w:rPr>
        <w:t>.4a</w:t>
      </w:r>
      <w:r w:rsidRPr="006404EE">
        <w:rPr>
          <w:rFonts w:cs="Calibri"/>
          <w:lang w:val="en-US"/>
        </w:rPr>
        <w:t xml:space="preserve"> of the PR, require</w:t>
      </w:r>
      <w:r w:rsidR="00080358" w:rsidRPr="006404EE">
        <w:rPr>
          <w:rFonts w:cs="Calibri"/>
          <w:lang w:val="en-US"/>
        </w:rPr>
        <w:t>s</w:t>
      </w:r>
      <w:r w:rsidRPr="006404EE">
        <w:rPr>
          <w:rFonts w:cs="Calibri"/>
          <w:lang w:val="en-US"/>
        </w:rPr>
        <w:t xml:space="preserve"> the establishment of a base prospectus. </w:t>
      </w:r>
      <w:r w:rsidR="00967A65" w:rsidRPr="006404EE">
        <w:rPr>
          <w:rFonts w:cs="Calibri"/>
          <w:lang w:val="en-US"/>
        </w:rPr>
        <w:t xml:space="preserve"> </w:t>
      </w:r>
      <w:r w:rsidR="008C3DF4" w:rsidRPr="006404EE">
        <w:rPr>
          <w:rFonts w:cs="Calibri"/>
          <w:lang w:val="en-US"/>
        </w:rPr>
        <w:t xml:space="preserve">We agree </w:t>
      </w:r>
      <w:r w:rsidR="004B1997" w:rsidRPr="006404EE">
        <w:rPr>
          <w:rFonts w:cs="Calibri"/>
          <w:lang w:val="en-US"/>
        </w:rPr>
        <w:t xml:space="preserve">that including </w:t>
      </w:r>
      <w:r w:rsidR="00C8583A" w:rsidRPr="006404EE">
        <w:rPr>
          <w:rFonts w:cs="Calibri"/>
          <w:lang w:val="en-US"/>
        </w:rPr>
        <w:t>warrants</w:t>
      </w:r>
      <w:r w:rsidR="00C47E4F" w:rsidRPr="006404EE">
        <w:rPr>
          <w:rFonts w:cs="Calibri"/>
          <w:lang w:val="en-US"/>
        </w:rPr>
        <w:t xml:space="preserve"> </w:t>
      </w:r>
      <w:r w:rsidR="004B1997" w:rsidRPr="006404EE">
        <w:rPr>
          <w:rFonts w:cs="Calibri"/>
          <w:lang w:val="en-US"/>
        </w:rPr>
        <w:t xml:space="preserve">in </w:t>
      </w:r>
      <w:r w:rsidR="00C47E4F" w:rsidRPr="006404EE">
        <w:rPr>
          <w:rFonts w:cs="Calibri"/>
          <w:lang w:val="en-US"/>
        </w:rPr>
        <w:t xml:space="preserve">a </w:t>
      </w:r>
      <w:r w:rsidR="005E1462" w:rsidRPr="006404EE">
        <w:rPr>
          <w:rFonts w:cs="Calibri"/>
          <w:lang w:val="en-US"/>
        </w:rPr>
        <w:t xml:space="preserve">base </w:t>
      </w:r>
      <w:r w:rsidR="00C47E4F" w:rsidRPr="006404EE">
        <w:rPr>
          <w:rFonts w:cs="Calibri"/>
          <w:lang w:val="en-US"/>
        </w:rPr>
        <w:t xml:space="preserve">prospectus </w:t>
      </w:r>
      <w:r w:rsidR="005E1462" w:rsidRPr="006404EE">
        <w:rPr>
          <w:rFonts w:cs="Calibri"/>
          <w:lang w:val="en-US"/>
        </w:rPr>
        <w:t xml:space="preserve">for vanilla debt </w:t>
      </w:r>
      <w:r w:rsidR="004B1997" w:rsidRPr="006404EE">
        <w:rPr>
          <w:rFonts w:cs="Calibri"/>
          <w:lang w:val="en-US"/>
        </w:rPr>
        <w:t xml:space="preserve">would not be possible through a </w:t>
      </w:r>
      <w:r w:rsidR="00C47E4F" w:rsidRPr="006404EE">
        <w:rPr>
          <w:rFonts w:cs="Calibri"/>
          <w:lang w:val="en-US"/>
        </w:rPr>
        <w:t>supplement</w:t>
      </w:r>
      <w:r w:rsidR="00967A65" w:rsidRPr="006404EE">
        <w:rPr>
          <w:rFonts w:cs="Calibri"/>
          <w:lang w:val="en-US"/>
        </w:rPr>
        <w:t>. The</w:t>
      </w:r>
      <w:r w:rsidR="00C47E4F" w:rsidRPr="006404EE">
        <w:rPr>
          <w:rFonts w:cs="Calibri"/>
          <w:lang w:val="en-US"/>
        </w:rPr>
        <w:t xml:space="preserve"> same applies </w:t>
      </w:r>
      <w:r w:rsidR="004527DC" w:rsidRPr="006404EE">
        <w:rPr>
          <w:rFonts w:cs="Calibri"/>
          <w:lang w:val="en-US"/>
        </w:rPr>
        <w:t>for</w:t>
      </w:r>
      <w:r w:rsidR="00C47E4F" w:rsidRPr="006404EE">
        <w:rPr>
          <w:rFonts w:cs="Calibri"/>
          <w:lang w:val="en-US"/>
        </w:rPr>
        <w:t xml:space="preserve"> differences in convertibility</w:t>
      </w:r>
      <w:r w:rsidR="004527DC" w:rsidRPr="006404EE">
        <w:rPr>
          <w:rFonts w:cs="Calibri"/>
          <w:lang w:val="en-US"/>
        </w:rPr>
        <w:t xml:space="preserve"> (</w:t>
      </w:r>
      <w:r w:rsidR="004527DC" w:rsidRPr="006404EE">
        <w:rPr>
          <w:rFonts w:cs="Calibri"/>
          <w:i/>
          <w:iCs/>
          <w:u w:val="single"/>
          <w:lang w:val="en-US"/>
        </w:rPr>
        <w:t>consultation paper, par. 2</w:t>
      </w:r>
      <w:r w:rsidR="004527DC" w:rsidRPr="006404EE">
        <w:rPr>
          <w:rFonts w:cs="Calibri"/>
          <w:lang w:val="en-US"/>
        </w:rPr>
        <w:t>)</w:t>
      </w:r>
      <w:r w:rsidR="00C47E4F" w:rsidRPr="006404EE">
        <w:rPr>
          <w:rFonts w:cs="Calibri"/>
          <w:lang w:val="en-US"/>
        </w:rPr>
        <w:t xml:space="preserve">. In </w:t>
      </w:r>
      <w:r w:rsidR="005E1462" w:rsidRPr="006404EE">
        <w:rPr>
          <w:rFonts w:cs="Calibri"/>
          <w:lang w:val="en-US"/>
        </w:rPr>
        <w:t xml:space="preserve">this </w:t>
      </w:r>
      <w:r w:rsidR="00C47E4F" w:rsidRPr="006404EE">
        <w:rPr>
          <w:rFonts w:cs="Calibri"/>
          <w:lang w:val="en-US"/>
        </w:rPr>
        <w:t xml:space="preserve">case, </w:t>
      </w:r>
      <w:r w:rsidR="004E373F" w:rsidRPr="006404EE">
        <w:rPr>
          <w:rFonts w:cs="Calibri"/>
          <w:lang w:val="en-US"/>
        </w:rPr>
        <w:t>we agree</w:t>
      </w:r>
      <w:r w:rsidR="005C70B5" w:rsidRPr="006404EE">
        <w:rPr>
          <w:rFonts w:cs="Calibri"/>
          <w:lang w:val="en-US"/>
        </w:rPr>
        <w:t xml:space="preserve"> that </w:t>
      </w:r>
      <w:r w:rsidR="00C47E4F" w:rsidRPr="006404EE">
        <w:rPr>
          <w:rFonts w:cs="Calibri"/>
          <w:lang w:val="en-US"/>
        </w:rPr>
        <w:t xml:space="preserve">a new base prospectus </w:t>
      </w:r>
      <w:r w:rsidR="00C057E5" w:rsidRPr="006404EE">
        <w:rPr>
          <w:rFonts w:cs="Calibri"/>
          <w:lang w:val="en-US"/>
        </w:rPr>
        <w:t xml:space="preserve">or drawdown prospectus </w:t>
      </w:r>
      <w:r w:rsidR="00C47E4F" w:rsidRPr="006404EE">
        <w:rPr>
          <w:rFonts w:cs="Calibri"/>
          <w:lang w:val="en-US"/>
        </w:rPr>
        <w:t xml:space="preserve">is required, not a supplement. </w:t>
      </w:r>
    </w:p>
    <w:p w14:paraId="158346D0" w14:textId="7F7A5352" w:rsidR="00C47E4F" w:rsidRPr="006404EE" w:rsidRDefault="00C8583A" w:rsidP="00C47E4F">
      <w:pPr>
        <w:rPr>
          <w:rFonts w:cs="Calibri"/>
          <w:lang w:val="en-US"/>
        </w:rPr>
      </w:pPr>
      <w:proofErr w:type="spellStart"/>
      <w:r w:rsidRPr="006404EE">
        <w:rPr>
          <w:rFonts w:cs="Calibri"/>
          <w:lang w:val="en-US"/>
        </w:rPr>
        <w:t>H</w:t>
      </w:r>
      <w:r w:rsidR="00E91C00" w:rsidRPr="006404EE">
        <w:rPr>
          <w:rFonts w:cs="Calibri"/>
          <w:lang w:val="en-US"/>
        </w:rPr>
        <w:t>armonisation</w:t>
      </w:r>
      <w:proofErr w:type="spellEnd"/>
      <w:r w:rsidR="00E91C00" w:rsidRPr="006404EE">
        <w:rPr>
          <w:rFonts w:cs="Calibri"/>
          <w:lang w:val="en-US"/>
        </w:rPr>
        <w:t xml:space="preserve"> must go hand in hand with the objective of </w:t>
      </w:r>
      <w:r w:rsidR="00C84A94" w:rsidRPr="006404EE">
        <w:rPr>
          <w:rFonts w:cs="Calibri"/>
          <w:lang w:val="en-GB"/>
        </w:rPr>
        <w:t>developing integrated capital markets (</w:t>
      </w:r>
      <w:r w:rsidR="001714C7" w:rsidRPr="006404EE">
        <w:rPr>
          <w:rFonts w:cs="Calibri"/>
          <w:i/>
          <w:iCs/>
          <w:u w:val="single"/>
          <w:lang w:val="en-GB"/>
        </w:rPr>
        <w:t>Savings and investments Union</w:t>
      </w:r>
      <w:r w:rsidR="001714C7" w:rsidRPr="006404EE">
        <w:rPr>
          <w:rFonts w:cs="Calibri"/>
          <w:lang w:val="en-GB"/>
        </w:rPr>
        <w:t xml:space="preserve">), </w:t>
      </w:r>
      <w:r w:rsidR="00E91C00" w:rsidRPr="006404EE">
        <w:rPr>
          <w:rFonts w:cs="Calibri"/>
          <w:lang w:val="en-US"/>
        </w:rPr>
        <w:t>improving the financing of the real economy and legislative and regulatory simplification</w:t>
      </w:r>
      <w:r w:rsidR="005318F5" w:rsidRPr="006404EE">
        <w:rPr>
          <w:rFonts w:cs="Calibri"/>
          <w:lang w:val="en-US"/>
        </w:rPr>
        <w:t xml:space="preserve"> (</w:t>
      </w:r>
      <w:r w:rsidR="005318F5" w:rsidRPr="006404EE">
        <w:rPr>
          <w:rFonts w:cs="Calibri"/>
          <w:i/>
          <w:iCs/>
          <w:u w:val="single"/>
          <w:lang w:val="en-US"/>
        </w:rPr>
        <w:t>Omnibus package</w:t>
      </w:r>
      <w:r w:rsidR="005318F5" w:rsidRPr="006404EE">
        <w:rPr>
          <w:rFonts w:cs="Calibri"/>
          <w:lang w:val="en-US"/>
        </w:rPr>
        <w:t>)</w:t>
      </w:r>
      <w:r w:rsidR="00E91C00" w:rsidRPr="006404EE">
        <w:rPr>
          <w:rFonts w:cs="Calibri"/>
          <w:lang w:val="en-US"/>
        </w:rPr>
        <w:t xml:space="preserve">. </w:t>
      </w:r>
      <w:r w:rsidR="004B1997" w:rsidRPr="006404EE">
        <w:rPr>
          <w:rFonts w:cs="Calibri"/>
          <w:lang w:val="en-US"/>
        </w:rPr>
        <w:t>To the extent that</w:t>
      </w:r>
      <w:r w:rsidR="00E91C00" w:rsidRPr="006404EE">
        <w:rPr>
          <w:rFonts w:cs="Calibri"/>
          <w:lang w:val="en-US"/>
        </w:rPr>
        <w:t xml:space="preserve"> investors have all the required information</w:t>
      </w:r>
      <w:r w:rsidR="004B1997" w:rsidRPr="006404EE">
        <w:rPr>
          <w:rFonts w:cs="Calibri"/>
          <w:lang w:val="en-US"/>
        </w:rPr>
        <w:t xml:space="preserve"> and such information can be reviewed </w:t>
      </w:r>
      <w:r w:rsidR="00B9659A" w:rsidRPr="006404EE">
        <w:rPr>
          <w:rFonts w:cs="Calibri"/>
          <w:lang w:val="en-US"/>
        </w:rPr>
        <w:t xml:space="preserve">and commented upon </w:t>
      </w:r>
      <w:r w:rsidR="004B1997" w:rsidRPr="006404EE">
        <w:rPr>
          <w:rFonts w:cs="Calibri"/>
          <w:lang w:val="en-US"/>
        </w:rPr>
        <w:t xml:space="preserve">by </w:t>
      </w:r>
      <w:r w:rsidR="00654237" w:rsidRPr="006404EE">
        <w:rPr>
          <w:rFonts w:cs="Calibri"/>
          <w:lang w:val="en-US"/>
        </w:rPr>
        <w:t xml:space="preserve">national competent authorities (hereafter, </w:t>
      </w:r>
      <w:r w:rsidR="008D75B9" w:rsidRPr="006404EE">
        <w:rPr>
          <w:rFonts w:cs="Calibri"/>
          <w:b/>
          <w:lang w:val="en-US"/>
        </w:rPr>
        <w:t>NCA</w:t>
      </w:r>
      <w:r w:rsidR="00762E5A" w:rsidRPr="006404EE">
        <w:rPr>
          <w:rFonts w:cs="Calibri"/>
          <w:b/>
          <w:lang w:val="en-US"/>
        </w:rPr>
        <w:t>s</w:t>
      </w:r>
      <w:r w:rsidR="00654237" w:rsidRPr="006404EE">
        <w:rPr>
          <w:rFonts w:cs="Calibri"/>
          <w:lang w:val="en-US"/>
        </w:rPr>
        <w:t>)</w:t>
      </w:r>
      <w:r w:rsidR="003E38BB" w:rsidRPr="006404EE">
        <w:rPr>
          <w:rFonts w:cs="Calibri"/>
          <w:lang w:val="en-US"/>
        </w:rPr>
        <w:t xml:space="preserve"> (as is the case for supplements)</w:t>
      </w:r>
      <w:r w:rsidR="00E91C00" w:rsidRPr="006404EE">
        <w:rPr>
          <w:rFonts w:cs="Calibri"/>
          <w:lang w:val="en-US"/>
        </w:rPr>
        <w:t xml:space="preserve">, it should be possible to </w:t>
      </w:r>
      <w:r w:rsidR="004B1997" w:rsidRPr="006404EE">
        <w:rPr>
          <w:rFonts w:cs="Calibri"/>
          <w:lang w:val="en-US"/>
        </w:rPr>
        <w:t xml:space="preserve">amend the terms of existing types of </w:t>
      </w:r>
      <w:r w:rsidR="00E91C00" w:rsidRPr="006404EE">
        <w:rPr>
          <w:rFonts w:cs="Calibri"/>
          <w:lang w:val="en-US"/>
        </w:rPr>
        <w:t xml:space="preserve">securities </w:t>
      </w:r>
      <w:r w:rsidR="00762E5A" w:rsidRPr="006404EE">
        <w:rPr>
          <w:rFonts w:cs="Calibri"/>
          <w:lang w:val="en-US"/>
        </w:rPr>
        <w:t>through</w:t>
      </w:r>
      <w:r w:rsidR="00E91C00" w:rsidRPr="006404EE">
        <w:rPr>
          <w:rFonts w:cs="Calibri"/>
          <w:lang w:val="en-US"/>
        </w:rPr>
        <w:t xml:space="preserve"> supplements</w:t>
      </w:r>
      <w:r w:rsidR="004B1997" w:rsidRPr="006404EE">
        <w:rPr>
          <w:rFonts w:cs="Calibri"/>
          <w:lang w:val="en-US"/>
        </w:rPr>
        <w:t xml:space="preserve"> without the need to prepare a new base prospectus</w:t>
      </w:r>
      <w:r w:rsidR="002916C1" w:rsidRPr="006404EE">
        <w:rPr>
          <w:rFonts w:cs="Calibri"/>
          <w:lang w:val="en-US"/>
        </w:rPr>
        <w:t xml:space="preserve"> or drawdown prospectus</w:t>
      </w:r>
      <w:r w:rsidR="004B1997" w:rsidRPr="006404EE">
        <w:rPr>
          <w:rFonts w:cs="Calibri"/>
          <w:lang w:val="en-US"/>
        </w:rPr>
        <w:t>, which is a costly</w:t>
      </w:r>
      <w:r w:rsidR="00762E5A" w:rsidRPr="006404EE">
        <w:rPr>
          <w:rFonts w:cs="Calibri"/>
          <w:lang w:val="en-US"/>
        </w:rPr>
        <w:t xml:space="preserve"> and time-consuming</w:t>
      </w:r>
      <w:r w:rsidR="004B1997" w:rsidRPr="006404EE">
        <w:rPr>
          <w:rFonts w:cs="Calibri"/>
          <w:lang w:val="en-US"/>
        </w:rPr>
        <w:t xml:space="preserve"> exercise for issuers</w:t>
      </w:r>
      <w:r w:rsidR="004E373F" w:rsidRPr="006404EE">
        <w:rPr>
          <w:rFonts w:cs="Calibri"/>
          <w:lang w:val="en-US"/>
        </w:rPr>
        <w:t xml:space="preserve"> and time-</w:t>
      </w:r>
      <w:r w:rsidR="00762E5A" w:rsidRPr="006404EE">
        <w:rPr>
          <w:rFonts w:cs="Calibri"/>
          <w:lang w:val="en-US"/>
        </w:rPr>
        <w:t>consuming for NCAs,</w:t>
      </w:r>
      <w:r w:rsidR="00BB2DF1" w:rsidRPr="006404EE">
        <w:rPr>
          <w:rFonts w:cs="Calibri"/>
          <w:lang w:val="en-US"/>
        </w:rPr>
        <w:t xml:space="preserve"> without substantial benefit for investors</w:t>
      </w:r>
      <w:r w:rsidR="00E91C00" w:rsidRPr="006404EE">
        <w:rPr>
          <w:rFonts w:cs="Calibri"/>
          <w:lang w:val="en-US"/>
        </w:rPr>
        <w:t>.</w:t>
      </w:r>
      <w:r w:rsidR="00981241" w:rsidRPr="006404EE">
        <w:rPr>
          <w:rFonts w:cs="Calibri"/>
          <w:lang w:val="en-US"/>
        </w:rPr>
        <w:t xml:space="preserve"> </w:t>
      </w:r>
    </w:p>
    <w:p w14:paraId="61A9A19D" w14:textId="77777777" w:rsidR="004E373F" w:rsidRPr="006404EE" w:rsidRDefault="004E373F" w:rsidP="00C47E4F">
      <w:pPr>
        <w:rPr>
          <w:rFonts w:cs="Calibri"/>
          <w:lang w:val="en-US"/>
        </w:rPr>
      </w:pPr>
    </w:p>
    <w:p w14:paraId="3DCD925F" w14:textId="2A288D97" w:rsidR="00C8583A" w:rsidRPr="006404EE" w:rsidRDefault="00C8583A" w:rsidP="00C47E4F">
      <w:pPr>
        <w:rPr>
          <w:rFonts w:cs="Calibri"/>
          <w:lang w:val="en-GB"/>
        </w:rPr>
      </w:pPr>
      <w:proofErr w:type="spellStart"/>
      <w:r w:rsidRPr="006404EE">
        <w:rPr>
          <w:rFonts w:cs="Calibri"/>
          <w:lang w:val="en-US"/>
        </w:rPr>
        <w:lastRenderedPageBreak/>
        <w:t>Harmonisation</w:t>
      </w:r>
      <w:proofErr w:type="spellEnd"/>
      <w:r w:rsidRPr="006404EE">
        <w:rPr>
          <w:rFonts w:cs="Calibri"/>
          <w:lang w:val="en-US"/>
        </w:rPr>
        <w:t xml:space="preserve"> must follow the objective of simplification</w:t>
      </w:r>
      <w:r w:rsidR="002A22F7" w:rsidRPr="006404EE">
        <w:rPr>
          <w:rFonts w:cs="Calibri"/>
          <w:lang w:val="en-US"/>
        </w:rPr>
        <w:t xml:space="preserve">. </w:t>
      </w:r>
      <w:r w:rsidR="00185AE6" w:rsidRPr="006404EE">
        <w:rPr>
          <w:rFonts w:cs="Calibri"/>
          <w:lang w:val="en-US"/>
        </w:rPr>
        <w:t xml:space="preserve">ESMA rightly points out in the consultation </w:t>
      </w:r>
      <w:r w:rsidR="00C52253" w:rsidRPr="006404EE">
        <w:rPr>
          <w:rFonts w:cs="Calibri"/>
          <w:lang w:val="en-US"/>
        </w:rPr>
        <w:t>that the Listing Act seeks burden reduction</w:t>
      </w:r>
      <w:r w:rsidRPr="006404EE">
        <w:rPr>
          <w:rFonts w:cs="Calibri"/>
          <w:lang w:val="en-US"/>
        </w:rPr>
        <w:t xml:space="preserve">. Since </w:t>
      </w:r>
      <w:r w:rsidR="005757E3" w:rsidRPr="006404EE">
        <w:rPr>
          <w:rFonts w:cs="Calibri"/>
          <w:lang w:val="en-US"/>
        </w:rPr>
        <w:t xml:space="preserve">the use of supplements </w:t>
      </w:r>
      <w:r w:rsidR="006B413D" w:rsidRPr="006404EE">
        <w:rPr>
          <w:rFonts w:cs="Calibri"/>
          <w:lang w:val="en-US"/>
        </w:rPr>
        <w:t>causes</w:t>
      </w:r>
      <w:r w:rsidR="00134736" w:rsidRPr="006404EE">
        <w:rPr>
          <w:rFonts w:cs="Calibri"/>
          <w:lang w:val="en-US"/>
        </w:rPr>
        <w:t xml:space="preserve"> </w:t>
      </w:r>
      <w:r w:rsidR="002A07B1" w:rsidRPr="006404EE">
        <w:rPr>
          <w:rFonts w:cs="Calibri"/>
          <w:szCs w:val="22"/>
          <w:lang w:val="en-GB"/>
        </w:rPr>
        <w:t xml:space="preserve">no major concern </w:t>
      </w:r>
      <w:r w:rsidR="003E38BB" w:rsidRPr="006404EE">
        <w:rPr>
          <w:rFonts w:cs="Calibri"/>
          <w:szCs w:val="22"/>
          <w:lang w:val="en-GB"/>
        </w:rPr>
        <w:t xml:space="preserve">for </w:t>
      </w:r>
      <w:r w:rsidR="002A07B1" w:rsidRPr="006404EE">
        <w:rPr>
          <w:rFonts w:cs="Calibri"/>
          <w:szCs w:val="22"/>
          <w:lang w:val="en-GB"/>
        </w:rPr>
        <w:t>the market</w:t>
      </w:r>
      <w:r w:rsidR="00134736" w:rsidRPr="006404EE">
        <w:rPr>
          <w:rFonts w:cs="Calibri"/>
          <w:szCs w:val="22"/>
          <w:lang w:val="en-GB"/>
        </w:rPr>
        <w:t>,</w:t>
      </w:r>
      <w:r w:rsidR="00E4733E" w:rsidRPr="006404EE">
        <w:rPr>
          <w:rFonts w:cs="Calibri"/>
          <w:szCs w:val="22"/>
          <w:lang w:val="en-GB"/>
        </w:rPr>
        <w:t xml:space="preserve"> has not been </w:t>
      </w:r>
      <w:r w:rsidRPr="006404EE">
        <w:rPr>
          <w:rFonts w:cs="Calibri"/>
          <w:lang w:val="en-US"/>
        </w:rPr>
        <w:t>misuse</w:t>
      </w:r>
      <w:r w:rsidR="00E4733E" w:rsidRPr="006404EE">
        <w:rPr>
          <w:rFonts w:cs="Calibri"/>
          <w:lang w:val="en-US"/>
        </w:rPr>
        <w:t>d and provides the market and investors</w:t>
      </w:r>
      <w:r w:rsidR="00737FB6" w:rsidRPr="006404EE">
        <w:rPr>
          <w:rFonts w:cs="Calibri"/>
          <w:lang w:val="en-US"/>
        </w:rPr>
        <w:t xml:space="preserve"> with</w:t>
      </w:r>
      <w:r w:rsidR="00E4733E" w:rsidRPr="006404EE">
        <w:rPr>
          <w:rFonts w:cs="Calibri"/>
          <w:lang w:val="en-US"/>
        </w:rPr>
        <w:t xml:space="preserve"> all the required </w:t>
      </w:r>
      <w:r w:rsidRPr="006404EE">
        <w:rPr>
          <w:rFonts w:cs="Calibri"/>
          <w:lang w:val="en-US"/>
        </w:rPr>
        <w:t xml:space="preserve">information, </w:t>
      </w:r>
      <w:proofErr w:type="spellStart"/>
      <w:r w:rsidRPr="006404EE">
        <w:rPr>
          <w:rFonts w:cs="Calibri"/>
          <w:lang w:val="en-US"/>
        </w:rPr>
        <w:t>harmonisation</w:t>
      </w:r>
      <w:proofErr w:type="spellEnd"/>
      <w:r w:rsidRPr="006404EE">
        <w:rPr>
          <w:rFonts w:cs="Calibri"/>
          <w:lang w:val="en-US"/>
        </w:rPr>
        <w:t xml:space="preserve"> should go in the sense of alignment on the</w:t>
      </w:r>
      <w:r w:rsidR="004E373F" w:rsidRPr="006404EE">
        <w:rPr>
          <w:rFonts w:cs="Calibri"/>
          <w:lang w:val="en-US"/>
        </w:rPr>
        <w:t xml:space="preserve"> more flexible practices of NCA</w:t>
      </w:r>
      <w:r w:rsidRPr="006404EE">
        <w:rPr>
          <w:rFonts w:cs="Calibri"/>
          <w:lang w:val="en-US"/>
        </w:rPr>
        <w:t xml:space="preserve">s, not the more stringent. </w:t>
      </w:r>
      <w:r w:rsidR="006670A7" w:rsidRPr="006404EE">
        <w:rPr>
          <w:rFonts w:cs="Calibri"/>
          <w:lang w:val="en-US"/>
        </w:rPr>
        <w:t>As some NCA</w:t>
      </w:r>
      <w:r w:rsidR="004E373F" w:rsidRPr="006404EE">
        <w:rPr>
          <w:rFonts w:cs="Calibri"/>
          <w:lang w:val="en-US"/>
        </w:rPr>
        <w:t>s</w:t>
      </w:r>
      <w:r w:rsidR="006670A7" w:rsidRPr="006404EE">
        <w:rPr>
          <w:rFonts w:cs="Calibri"/>
          <w:lang w:val="en-US"/>
        </w:rPr>
        <w:t xml:space="preserve"> currently accept that supplements be used to include new features for existing types of securities (and not </w:t>
      </w:r>
      <w:r w:rsidR="001C4745" w:rsidRPr="006404EE">
        <w:rPr>
          <w:rFonts w:cs="Calibri"/>
          <w:lang w:val="en-US"/>
        </w:rPr>
        <w:t xml:space="preserve">to introduce </w:t>
      </w:r>
      <w:r w:rsidR="006670A7" w:rsidRPr="006404EE">
        <w:rPr>
          <w:rFonts w:cs="Calibri"/>
          <w:lang w:val="en-US"/>
        </w:rPr>
        <w:t>new types of securities)</w:t>
      </w:r>
      <w:r w:rsidR="001C4745" w:rsidRPr="006404EE">
        <w:rPr>
          <w:rFonts w:cs="Calibri"/>
          <w:lang w:val="en-US"/>
        </w:rPr>
        <w:t xml:space="preserve">, </w:t>
      </w:r>
      <w:r w:rsidR="00065B8B" w:rsidRPr="006404EE">
        <w:rPr>
          <w:rFonts w:cs="Calibri"/>
          <w:lang w:val="en-US"/>
        </w:rPr>
        <w:t xml:space="preserve">it would go against the Listing Act </w:t>
      </w:r>
      <w:r w:rsidR="00921619" w:rsidRPr="006404EE">
        <w:rPr>
          <w:rFonts w:cs="Calibri"/>
          <w:lang w:val="en-US"/>
        </w:rPr>
        <w:t xml:space="preserve">objectives </w:t>
      </w:r>
      <w:r w:rsidR="00065B8B" w:rsidRPr="006404EE">
        <w:rPr>
          <w:rFonts w:cs="Calibri"/>
          <w:lang w:val="en-US"/>
        </w:rPr>
        <w:t>of burden reduction and access to capital</w:t>
      </w:r>
      <w:r w:rsidR="00755144" w:rsidRPr="006404EE">
        <w:rPr>
          <w:rFonts w:cs="Calibri"/>
          <w:lang w:val="en-US"/>
        </w:rPr>
        <w:t xml:space="preserve"> (</w:t>
      </w:r>
      <w:r w:rsidR="00755144" w:rsidRPr="006404EE">
        <w:rPr>
          <w:rFonts w:cs="Calibri"/>
          <w:i/>
          <w:iCs/>
          <w:u w:val="single"/>
          <w:lang w:val="en-US"/>
        </w:rPr>
        <w:t xml:space="preserve">inter alia whereas </w:t>
      </w:r>
      <w:r w:rsidR="004C18A7" w:rsidRPr="006404EE">
        <w:rPr>
          <w:rFonts w:cs="Calibri"/>
          <w:i/>
          <w:iCs/>
          <w:u w:val="single"/>
          <w:lang w:val="en-US"/>
        </w:rPr>
        <w:t xml:space="preserve">1 – 6 and </w:t>
      </w:r>
      <w:r w:rsidR="00921619" w:rsidRPr="006404EE">
        <w:rPr>
          <w:rFonts w:cs="Calibri"/>
          <w:i/>
          <w:iCs/>
          <w:u w:val="single"/>
          <w:lang w:val="en-US"/>
        </w:rPr>
        <w:t>18 of the Listing Act Regulation</w:t>
      </w:r>
      <w:r w:rsidR="00921619" w:rsidRPr="006404EE">
        <w:rPr>
          <w:rFonts w:cs="Calibri"/>
          <w:lang w:val="en-US"/>
        </w:rPr>
        <w:t>)</w:t>
      </w:r>
      <w:r w:rsidR="00065B8B" w:rsidRPr="006404EE">
        <w:rPr>
          <w:rFonts w:cs="Calibri"/>
          <w:lang w:val="en-US"/>
        </w:rPr>
        <w:t xml:space="preserve"> </w:t>
      </w:r>
      <w:r w:rsidR="002A31EC" w:rsidRPr="006404EE">
        <w:rPr>
          <w:rFonts w:cs="Calibri"/>
          <w:lang w:val="en-US"/>
        </w:rPr>
        <w:t>to prohibit such common practice</w:t>
      </w:r>
      <w:r w:rsidR="00696E78" w:rsidRPr="006404EE">
        <w:rPr>
          <w:rFonts w:cs="Calibri"/>
          <w:lang w:val="en-US"/>
        </w:rPr>
        <w:t xml:space="preserve"> for no added benefit to the market</w:t>
      </w:r>
      <w:r w:rsidR="002A31EC" w:rsidRPr="006404EE">
        <w:rPr>
          <w:rFonts w:cs="Calibri"/>
          <w:lang w:val="en-US"/>
        </w:rPr>
        <w:t>.</w:t>
      </w:r>
      <w:r w:rsidR="006670A7" w:rsidRPr="006404EE">
        <w:rPr>
          <w:rFonts w:cs="Calibri"/>
          <w:lang w:val="en-US"/>
        </w:rPr>
        <w:t xml:space="preserve"> </w:t>
      </w:r>
      <w:r w:rsidR="00FD2B17" w:rsidRPr="006404EE">
        <w:rPr>
          <w:rFonts w:cs="Calibri"/>
          <w:lang w:val="en-GB"/>
        </w:rPr>
        <w:t>Alignment with the more flexible practices would be consistent with the strong support expressed in</w:t>
      </w:r>
      <w:r w:rsidR="004E373F" w:rsidRPr="006404EE">
        <w:rPr>
          <w:rFonts w:cs="Calibri"/>
          <w:lang w:val="en-GB"/>
        </w:rPr>
        <w:t xml:space="preserve"> December 2024 by the Board of S</w:t>
      </w:r>
      <w:r w:rsidR="00FD2B17" w:rsidRPr="006404EE">
        <w:rPr>
          <w:rFonts w:cs="Calibri"/>
          <w:lang w:val="en-GB"/>
        </w:rPr>
        <w:t>upervisors of ESMA for simplification and burden reduction.</w:t>
      </w:r>
      <w:r w:rsidR="00575AE9" w:rsidRPr="006404EE">
        <w:rPr>
          <w:rFonts w:cs="Calibri"/>
          <w:lang w:val="en-GB"/>
        </w:rPr>
        <w:t xml:space="preserve"> </w:t>
      </w:r>
    </w:p>
    <w:p w14:paraId="45FBAD4C" w14:textId="24396B64" w:rsidR="008C43C0" w:rsidRPr="006404EE" w:rsidRDefault="00981241" w:rsidP="00C47E4F">
      <w:pPr>
        <w:rPr>
          <w:rFonts w:cs="Calibri"/>
          <w:lang w:val="en-US"/>
        </w:rPr>
      </w:pPr>
      <w:r w:rsidRPr="006404EE">
        <w:rPr>
          <w:rFonts w:cs="Calibri"/>
          <w:lang w:val="en-US"/>
        </w:rPr>
        <w:t xml:space="preserve">With </w:t>
      </w:r>
      <w:r w:rsidR="00C47E4F" w:rsidRPr="006404EE">
        <w:rPr>
          <w:rFonts w:cs="Calibri"/>
          <w:lang w:val="en-US"/>
        </w:rPr>
        <w:t xml:space="preserve">regard to </w:t>
      </w:r>
      <w:r w:rsidR="00EC0EF2" w:rsidRPr="006404EE">
        <w:rPr>
          <w:rFonts w:cs="Calibri"/>
          <w:lang w:val="en-US"/>
        </w:rPr>
        <w:t>use-of-proceeds</w:t>
      </w:r>
      <w:r w:rsidR="00783B20" w:rsidRPr="006404EE">
        <w:rPr>
          <w:rFonts w:cs="Calibri"/>
          <w:lang w:val="en-US"/>
        </w:rPr>
        <w:t xml:space="preserve"> bonds</w:t>
      </w:r>
      <w:r w:rsidR="00007F0B" w:rsidRPr="006404EE">
        <w:rPr>
          <w:rFonts w:cs="Calibri"/>
          <w:lang w:val="en-US"/>
        </w:rPr>
        <w:t>, such as social, green</w:t>
      </w:r>
      <w:r w:rsidR="00614860" w:rsidRPr="006404EE">
        <w:rPr>
          <w:rFonts w:cs="Calibri"/>
          <w:lang w:val="en-US"/>
        </w:rPr>
        <w:t xml:space="preserve"> (including </w:t>
      </w:r>
      <w:proofErr w:type="spellStart"/>
      <w:r w:rsidR="00614860" w:rsidRPr="006404EE">
        <w:rPr>
          <w:rFonts w:cs="Calibri"/>
          <w:lang w:val="en-US"/>
        </w:rPr>
        <w:t>E</w:t>
      </w:r>
      <w:r w:rsidR="006D0496" w:rsidRPr="006404EE">
        <w:rPr>
          <w:rFonts w:cs="Calibri"/>
          <w:lang w:val="en-US"/>
        </w:rPr>
        <w:t>u</w:t>
      </w:r>
      <w:r w:rsidR="00614860" w:rsidRPr="006404EE">
        <w:rPr>
          <w:rFonts w:cs="Calibri"/>
          <w:lang w:val="en-US"/>
        </w:rPr>
        <w:t>GB</w:t>
      </w:r>
      <w:proofErr w:type="spellEnd"/>
      <w:r w:rsidR="00614860" w:rsidRPr="006404EE">
        <w:rPr>
          <w:rFonts w:cs="Calibri"/>
          <w:lang w:val="en-US"/>
        </w:rPr>
        <w:t>)</w:t>
      </w:r>
      <w:r w:rsidR="00007F0B" w:rsidRPr="006404EE">
        <w:rPr>
          <w:rFonts w:cs="Calibri"/>
          <w:lang w:val="en-US"/>
        </w:rPr>
        <w:t xml:space="preserve"> and sustain</w:t>
      </w:r>
      <w:r w:rsidR="00AC0A4A" w:rsidRPr="006404EE">
        <w:rPr>
          <w:rFonts w:cs="Calibri"/>
          <w:lang w:val="en-US"/>
        </w:rPr>
        <w:t>able bonds, and</w:t>
      </w:r>
      <w:r w:rsidR="004E373F" w:rsidRPr="006404EE">
        <w:rPr>
          <w:rFonts w:cs="Calibri"/>
          <w:lang w:val="en-US"/>
        </w:rPr>
        <w:t xml:space="preserve"> with regard</w:t>
      </w:r>
      <w:r w:rsidR="00C73B20" w:rsidRPr="006404EE">
        <w:rPr>
          <w:rFonts w:cs="Calibri"/>
          <w:lang w:val="en-US"/>
        </w:rPr>
        <w:t xml:space="preserve"> to </w:t>
      </w:r>
      <w:r w:rsidR="00C47E4F" w:rsidRPr="006404EE">
        <w:rPr>
          <w:rFonts w:cs="Calibri"/>
          <w:lang w:val="en-US"/>
        </w:rPr>
        <w:t>sustainability</w:t>
      </w:r>
      <w:r w:rsidR="004B1997" w:rsidRPr="006404EE">
        <w:rPr>
          <w:rFonts w:cs="Calibri"/>
          <w:lang w:val="en-US"/>
        </w:rPr>
        <w:t>-</w:t>
      </w:r>
      <w:r w:rsidR="00C47E4F" w:rsidRPr="006404EE">
        <w:rPr>
          <w:rFonts w:cs="Calibri"/>
          <w:lang w:val="en-US"/>
        </w:rPr>
        <w:t xml:space="preserve">linked </w:t>
      </w:r>
      <w:r w:rsidR="008C43C0" w:rsidRPr="006404EE">
        <w:rPr>
          <w:rFonts w:cs="Calibri"/>
          <w:lang w:val="en-US"/>
        </w:rPr>
        <w:t>bonds (SLBs)</w:t>
      </w:r>
      <w:r w:rsidRPr="006404EE">
        <w:rPr>
          <w:rFonts w:cs="Calibri"/>
          <w:lang w:val="en-US"/>
        </w:rPr>
        <w:t>, i</w:t>
      </w:r>
      <w:r w:rsidR="00C47E4F" w:rsidRPr="006404EE">
        <w:rPr>
          <w:rFonts w:cs="Calibri"/>
          <w:lang w:val="en-US"/>
        </w:rPr>
        <w:t xml:space="preserve">t would be excessively costly with no real benefit for the market if, in </w:t>
      </w:r>
      <w:r w:rsidR="002A22F7" w:rsidRPr="006404EE">
        <w:rPr>
          <w:rFonts w:cs="Calibri"/>
          <w:lang w:val="en-US"/>
        </w:rPr>
        <w:t xml:space="preserve">the </w:t>
      </w:r>
      <w:r w:rsidR="00C47E4F" w:rsidRPr="006404EE">
        <w:rPr>
          <w:rFonts w:cs="Calibri"/>
          <w:lang w:val="en-US"/>
        </w:rPr>
        <w:t>future, issuers wishing to issue</w:t>
      </w:r>
      <w:r w:rsidR="00783B20" w:rsidRPr="006404EE">
        <w:rPr>
          <w:rFonts w:cs="Calibri"/>
          <w:lang w:val="en-US"/>
        </w:rPr>
        <w:t xml:space="preserve"> </w:t>
      </w:r>
      <w:r w:rsidR="00AC0A4A" w:rsidRPr="006404EE">
        <w:rPr>
          <w:rFonts w:cs="Calibri"/>
          <w:lang w:val="en-US"/>
        </w:rPr>
        <w:t>such</w:t>
      </w:r>
      <w:r w:rsidR="00C73B20" w:rsidRPr="006404EE">
        <w:rPr>
          <w:rFonts w:cs="Calibri"/>
          <w:lang w:val="en-US"/>
        </w:rPr>
        <w:t xml:space="preserve"> bonds</w:t>
      </w:r>
      <w:r w:rsidR="00AC0A4A" w:rsidRPr="006404EE">
        <w:rPr>
          <w:rFonts w:cs="Calibri"/>
          <w:lang w:val="en-US"/>
        </w:rPr>
        <w:t xml:space="preserve"> </w:t>
      </w:r>
      <w:r w:rsidR="00C47E4F" w:rsidRPr="006404EE">
        <w:rPr>
          <w:rFonts w:cs="Calibri"/>
          <w:lang w:val="en-US"/>
        </w:rPr>
        <w:t xml:space="preserve">cannot do so </w:t>
      </w:r>
      <w:r w:rsidR="004B1997" w:rsidRPr="006404EE">
        <w:rPr>
          <w:rFonts w:cs="Calibri"/>
          <w:lang w:val="en-US"/>
        </w:rPr>
        <w:t>through a supplement</w:t>
      </w:r>
      <w:r w:rsidR="00C47E4F" w:rsidRPr="006404EE">
        <w:rPr>
          <w:rFonts w:cs="Calibri"/>
          <w:lang w:val="en-US"/>
        </w:rPr>
        <w:t>.</w:t>
      </w:r>
      <w:r w:rsidR="00B46684" w:rsidRPr="006404EE">
        <w:rPr>
          <w:rFonts w:cs="Calibri"/>
          <w:lang w:val="en-US"/>
        </w:rPr>
        <w:t xml:space="preserve"> </w:t>
      </w:r>
      <w:r w:rsidR="000531A0" w:rsidRPr="006404EE">
        <w:rPr>
          <w:rFonts w:cs="Calibri"/>
          <w:lang w:val="en-US"/>
        </w:rPr>
        <w:t>For example</w:t>
      </w:r>
      <w:r w:rsidR="005A1E65" w:rsidRPr="006404EE">
        <w:rPr>
          <w:rFonts w:cs="Calibri"/>
          <w:lang w:val="en-US"/>
        </w:rPr>
        <w:t xml:space="preserve">, green bonds </w:t>
      </w:r>
      <w:r w:rsidR="00D74FB7" w:rsidRPr="006404EE">
        <w:rPr>
          <w:rFonts w:cs="Calibri"/>
          <w:lang w:val="en-US"/>
        </w:rPr>
        <w:t>are</w:t>
      </w:r>
      <w:r w:rsidR="005A1E65" w:rsidRPr="006404EE">
        <w:rPr>
          <w:rFonts w:cs="Calibri"/>
          <w:lang w:val="en-US"/>
        </w:rPr>
        <w:t xml:space="preserve"> regular bonds</w:t>
      </w:r>
      <w:r w:rsidR="00D74FB7" w:rsidRPr="006404EE">
        <w:rPr>
          <w:rFonts w:cs="Calibri"/>
          <w:lang w:val="en-US"/>
        </w:rPr>
        <w:t xml:space="preserve"> with a specific use of proceeds</w:t>
      </w:r>
      <w:r w:rsidR="00D20A47" w:rsidRPr="006404EE">
        <w:rPr>
          <w:rFonts w:cs="Calibri"/>
          <w:lang w:val="en-US"/>
        </w:rPr>
        <w:t xml:space="preserve">, i.e. </w:t>
      </w:r>
      <w:r w:rsidR="005A1E65" w:rsidRPr="006404EE">
        <w:rPr>
          <w:rFonts w:cs="Calibri"/>
          <w:lang w:val="en-US"/>
        </w:rPr>
        <w:t xml:space="preserve">designated to finance </w:t>
      </w:r>
      <w:r w:rsidR="00203D39" w:rsidRPr="006404EE">
        <w:rPr>
          <w:rFonts w:cs="Calibri"/>
          <w:lang w:val="en-US"/>
        </w:rPr>
        <w:t>green-</w:t>
      </w:r>
      <w:r w:rsidR="005A1E65" w:rsidRPr="006404EE">
        <w:rPr>
          <w:rFonts w:cs="Calibri"/>
          <w:lang w:val="en-US"/>
        </w:rPr>
        <w:t xml:space="preserve">related projects or activities. Similarly, SLBs </w:t>
      </w:r>
      <w:r w:rsidR="00562762" w:rsidRPr="006404EE">
        <w:rPr>
          <w:rFonts w:cs="Calibri"/>
          <w:lang w:val="en-US"/>
        </w:rPr>
        <w:t xml:space="preserve">are </w:t>
      </w:r>
      <w:r w:rsidR="005A1E65" w:rsidRPr="006404EE">
        <w:rPr>
          <w:rFonts w:cs="Calibri"/>
          <w:lang w:val="en-US"/>
        </w:rPr>
        <w:t>structured as bonds with an additional performance feature</w:t>
      </w:r>
      <w:r w:rsidR="00562762" w:rsidRPr="006404EE">
        <w:rPr>
          <w:rFonts w:cs="Calibri"/>
          <w:lang w:val="en-US"/>
        </w:rPr>
        <w:t xml:space="preserve"> </w:t>
      </w:r>
      <w:r w:rsidR="005A1E65" w:rsidRPr="006404EE">
        <w:rPr>
          <w:rFonts w:cs="Calibri"/>
          <w:lang w:val="en-US"/>
        </w:rPr>
        <w:t>—</w:t>
      </w:r>
      <w:r w:rsidR="00562762" w:rsidRPr="006404EE">
        <w:rPr>
          <w:rFonts w:cs="Calibri"/>
          <w:lang w:val="en-US"/>
        </w:rPr>
        <w:t xml:space="preserve"> </w:t>
      </w:r>
      <w:r w:rsidR="005A1E65" w:rsidRPr="006404EE">
        <w:rPr>
          <w:rFonts w:cs="Calibri"/>
          <w:lang w:val="en-US"/>
        </w:rPr>
        <w:t xml:space="preserve">typically, a step-up or step-down mechanism linked to specific sustainability key performance indicators (KPIs). Despite this additional feature, the fundamental nature of SLBs remains unchanged: they are still debt instruments that require the issuer to repay the principal at maturity while paying periodic interest. </w:t>
      </w:r>
      <w:r w:rsidR="00086B62" w:rsidRPr="006404EE">
        <w:rPr>
          <w:rFonts w:cs="Calibri"/>
          <w:lang w:val="en-US"/>
        </w:rPr>
        <w:t xml:space="preserve">This is only a new feature of a bond, not a </w:t>
      </w:r>
      <w:r w:rsidR="0068546F" w:rsidRPr="006404EE">
        <w:rPr>
          <w:rFonts w:cs="Calibri"/>
          <w:lang w:val="en-US"/>
        </w:rPr>
        <w:t>“</w:t>
      </w:r>
      <w:r w:rsidR="00086B62" w:rsidRPr="006404EE">
        <w:rPr>
          <w:rFonts w:cs="Calibri"/>
          <w:lang w:val="en-US"/>
        </w:rPr>
        <w:t xml:space="preserve">new type of </w:t>
      </w:r>
      <w:r w:rsidR="0068546F" w:rsidRPr="006404EE">
        <w:rPr>
          <w:rFonts w:cs="Calibri"/>
          <w:lang w:val="en-US"/>
        </w:rPr>
        <w:t>security” (PR, art. 23.4</w:t>
      </w:r>
      <w:r w:rsidR="0056079E" w:rsidRPr="006404EE">
        <w:rPr>
          <w:rFonts w:cs="Calibri"/>
          <w:lang w:val="en-US"/>
        </w:rPr>
        <w:t>a</w:t>
      </w:r>
      <w:r w:rsidR="0068546F" w:rsidRPr="006404EE">
        <w:rPr>
          <w:rFonts w:cs="Calibri"/>
          <w:lang w:val="en-US"/>
        </w:rPr>
        <w:t>)</w:t>
      </w:r>
      <w:r w:rsidR="00086B62" w:rsidRPr="006404EE">
        <w:rPr>
          <w:rFonts w:cs="Calibri"/>
          <w:lang w:val="en-US"/>
        </w:rPr>
        <w:t xml:space="preserve">. </w:t>
      </w:r>
      <w:r w:rsidR="005A1E65" w:rsidRPr="006404EE">
        <w:rPr>
          <w:rFonts w:cs="Calibri"/>
          <w:lang w:val="en-US"/>
        </w:rPr>
        <w:t xml:space="preserve">In both cases, whether it is a green bond or a sustainability-linked bond, the modifications relate only to the targeted use of funds or the adjustment of certain payment features rather than altering the </w:t>
      </w:r>
      <w:r w:rsidR="00BE4292" w:rsidRPr="006404EE">
        <w:rPr>
          <w:rFonts w:cs="Calibri"/>
          <w:lang w:val="en-US"/>
        </w:rPr>
        <w:t>fundamental</w:t>
      </w:r>
      <w:r w:rsidR="005A1E65" w:rsidRPr="006404EE">
        <w:rPr>
          <w:rFonts w:cs="Calibri"/>
          <w:lang w:val="en-US"/>
        </w:rPr>
        <w:t xml:space="preserve"> characteristics of a bond</w:t>
      </w:r>
      <w:r w:rsidR="0074664F" w:rsidRPr="006404EE">
        <w:rPr>
          <w:rFonts w:cs="Calibri"/>
          <w:lang w:val="en-US"/>
        </w:rPr>
        <w:t>.</w:t>
      </w:r>
    </w:p>
    <w:p w14:paraId="51E300F0" w14:textId="4259ADDB" w:rsidR="00B36EC1" w:rsidRPr="006404EE" w:rsidRDefault="008C43C0" w:rsidP="00C47E4F">
      <w:pPr>
        <w:rPr>
          <w:rFonts w:cs="Calibri"/>
          <w:lang w:val="en-US"/>
        </w:rPr>
      </w:pPr>
      <w:r w:rsidRPr="006404EE">
        <w:rPr>
          <w:rFonts w:cs="Calibri"/>
          <w:lang w:val="en-US"/>
        </w:rPr>
        <w:t>P</w:t>
      </w:r>
      <w:r w:rsidR="008D75B9" w:rsidRPr="006404EE">
        <w:rPr>
          <w:rFonts w:cs="Calibri"/>
          <w:lang w:val="en-US"/>
        </w:rPr>
        <w:t xml:space="preserve">rohibiting a supplement in such circumstances </w:t>
      </w:r>
      <w:r w:rsidR="00C47E4F" w:rsidRPr="006404EE">
        <w:rPr>
          <w:rFonts w:cs="Calibri"/>
          <w:lang w:val="en-US"/>
        </w:rPr>
        <w:t>constitute</w:t>
      </w:r>
      <w:r w:rsidR="00981241" w:rsidRPr="006404EE">
        <w:rPr>
          <w:rFonts w:cs="Calibri"/>
          <w:lang w:val="en-US"/>
        </w:rPr>
        <w:t>s</w:t>
      </w:r>
      <w:r w:rsidR="00C47E4F" w:rsidRPr="006404EE">
        <w:rPr>
          <w:rFonts w:cs="Calibri"/>
          <w:lang w:val="en-US"/>
        </w:rPr>
        <w:t xml:space="preserve"> a barrier to the issuance of </w:t>
      </w:r>
      <w:r w:rsidR="004B1997" w:rsidRPr="006404EE">
        <w:rPr>
          <w:rFonts w:cs="Calibri"/>
          <w:lang w:val="en-US"/>
        </w:rPr>
        <w:t xml:space="preserve">sustainable </w:t>
      </w:r>
      <w:r w:rsidR="00C47E4F" w:rsidRPr="006404EE">
        <w:rPr>
          <w:rFonts w:cs="Calibri"/>
          <w:lang w:val="en-US"/>
        </w:rPr>
        <w:t>bonds</w:t>
      </w:r>
      <w:r w:rsidR="00762E5A" w:rsidRPr="006404EE">
        <w:rPr>
          <w:rFonts w:cs="Calibri"/>
          <w:lang w:val="en-GB"/>
        </w:rPr>
        <w:t xml:space="preserve">, which already </w:t>
      </w:r>
      <w:r w:rsidR="00520DC8" w:rsidRPr="006404EE">
        <w:rPr>
          <w:rFonts w:cs="Calibri"/>
          <w:lang w:val="en-GB"/>
        </w:rPr>
        <w:t>obliges</w:t>
      </w:r>
      <w:r w:rsidR="00762E5A" w:rsidRPr="006404EE">
        <w:rPr>
          <w:rFonts w:cs="Calibri"/>
          <w:lang w:val="en-GB"/>
        </w:rPr>
        <w:t xml:space="preserve"> issuers to prepare important documentation (e.g. framework , ITP opinion, without mentioning the strict constraints of </w:t>
      </w:r>
      <w:proofErr w:type="spellStart"/>
      <w:r w:rsidR="00762E5A" w:rsidRPr="006404EE">
        <w:rPr>
          <w:rFonts w:cs="Calibri"/>
          <w:lang w:val="en-GB"/>
        </w:rPr>
        <w:t>E</w:t>
      </w:r>
      <w:r w:rsidR="002940BF" w:rsidRPr="006404EE">
        <w:rPr>
          <w:rFonts w:cs="Calibri"/>
          <w:lang w:val="en-GB"/>
        </w:rPr>
        <w:t>u</w:t>
      </w:r>
      <w:r w:rsidR="00762E5A" w:rsidRPr="006404EE">
        <w:rPr>
          <w:rFonts w:cs="Calibri"/>
          <w:lang w:val="en-GB"/>
        </w:rPr>
        <w:t>GB</w:t>
      </w:r>
      <w:proofErr w:type="spellEnd"/>
      <w:r w:rsidR="00762E5A" w:rsidRPr="006404EE">
        <w:rPr>
          <w:rFonts w:cs="Calibri"/>
          <w:lang w:val="en-GB"/>
        </w:rPr>
        <w:t>)</w:t>
      </w:r>
      <w:r w:rsidR="007039F2" w:rsidRPr="006404EE">
        <w:rPr>
          <w:rFonts w:cs="Calibri"/>
          <w:lang w:val="en-GB"/>
        </w:rPr>
        <w:t>. It is also contrary</w:t>
      </w:r>
      <w:r w:rsidR="00DE3F3C" w:rsidRPr="006404EE">
        <w:rPr>
          <w:rFonts w:cs="Calibri"/>
          <w:lang w:val="en-US"/>
        </w:rPr>
        <w:t xml:space="preserve"> to</w:t>
      </w:r>
      <w:r w:rsidR="004B1997" w:rsidRPr="006404EE">
        <w:rPr>
          <w:rFonts w:cs="Calibri"/>
          <w:lang w:val="en-US"/>
        </w:rPr>
        <w:t xml:space="preserve"> the goal of</w:t>
      </w:r>
      <w:r w:rsidR="000C4825" w:rsidRPr="006404EE">
        <w:rPr>
          <w:rFonts w:cs="Calibri"/>
          <w:lang w:val="en-US"/>
        </w:rPr>
        <w:t xml:space="preserve"> the </w:t>
      </w:r>
      <w:hyperlink r:id="rId12" w:history="1">
        <w:r w:rsidR="000C4825" w:rsidRPr="006404EE">
          <w:rPr>
            <w:rStyle w:val="Lienhypertexte"/>
            <w:rFonts w:cs="Calibri"/>
            <w:color w:val="auto"/>
            <w:lang w:val="en-US"/>
          </w:rPr>
          <w:t>Green Deal</w:t>
        </w:r>
      </w:hyperlink>
      <w:r w:rsidR="000C4825" w:rsidRPr="006404EE">
        <w:rPr>
          <w:rFonts w:cs="Calibri"/>
          <w:lang w:val="en-US"/>
        </w:rPr>
        <w:t xml:space="preserve"> and</w:t>
      </w:r>
      <w:r w:rsidR="004B1997" w:rsidRPr="006404EE">
        <w:rPr>
          <w:rFonts w:cs="Calibri"/>
          <w:lang w:val="en-US"/>
        </w:rPr>
        <w:t xml:space="preserve"> the </w:t>
      </w:r>
      <w:hyperlink r:id="rId13" w:history="1">
        <w:r w:rsidR="004B1997" w:rsidRPr="006404EE">
          <w:rPr>
            <w:rStyle w:val="Lienhypertexte"/>
            <w:rFonts w:cs="Calibri"/>
            <w:color w:val="auto"/>
            <w:lang w:val="en-US"/>
          </w:rPr>
          <w:t>Paris Agreement</w:t>
        </w:r>
      </w:hyperlink>
      <w:r w:rsidR="004B1997" w:rsidRPr="006404EE">
        <w:rPr>
          <w:rFonts w:cs="Calibri"/>
          <w:lang w:val="en-US"/>
        </w:rPr>
        <w:t xml:space="preserve"> to </w:t>
      </w:r>
      <w:r w:rsidR="00B46684" w:rsidRPr="006404EE">
        <w:rPr>
          <w:rFonts w:cs="Calibri"/>
          <w:lang w:val="en-US"/>
        </w:rPr>
        <w:t>mak</w:t>
      </w:r>
      <w:r w:rsidR="008D75B9" w:rsidRPr="006404EE">
        <w:rPr>
          <w:rFonts w:cs="Calibri"/>
          <w:lang w:val="en-US"/>
        </w:rPr>
        <w:t>e</w:t>
      </w:r>
      <w:r w:rsidR="00B46684" w:rsidRPr="006404EE">
        <w:rPr>
          <w:rFonts w:cs="Calibri"/>
          <w:lang w:val="en-US"/>
        </w:rPr>
        <w:t xml:space="preserve"> finance flows consistent with a pathway towards low greenhouse gas emissions and climate-resilient development</w:t>
      </w:r>
      <w:r w:rsidR="007039F2" w:rsidRPr="006404EE">
        <w:rPr>
          <w:rFonts w:cs="Calibri"/>
          <w:lang w:val="en-US"/>
        </w:rPr>
        <w:t>. This is particularly true</w:t>
      </w:r>
      <w:r w:rsidR="00FF1107" w:rsidRPr="006404EE">
        <w:rPr>
          <w:rFonts w:cs="Calibri"/>
          <w:lang w:val="en-US"/>
        </w:rPr>
        <w:t>,</w:t>
      </w:r>
      <w:r w:rsidR="00FF1107" w:rsidRPr="006404EE">
        <w:rPr>
          <w:rFonts w:cs="Calibri"/>
          <w:lang w:val="en-GB"/>
        </w:rPr>
        <w:t xml:space="preserve"> in a context where the SLBs are already reducing in number and amounts and the number of </w:t>
      </w:r>
      <w:proofErr w:type="spellStart"/>
      <w:r w:rsidR="00FF1107" w:rsidRPr="006404EE">
        <w:rPr>
          <w:rFonts w:cs="Calibri"/>
          <w:lang w:val="en-GB"/>
        </w:rPr>
        <w:t>Eu</w:t>
      </w:r>
      <w:r w:rsidR="00CB718A" w:rsidRPr="006404EE">
        <w:rPr>
          <w:rFonts w:cs="Calibri"/>
          <w:lang w:val="en-GB"/>
        </w:rPr>
        <w:t>G</w:t>
      </w:r>
      <w:r w:rsidR="00FF1107" w:rsidRPr="006404EE">
        <w:rPr>
          <w:rFonts w:cs="Calibri"/>
          <w:lang w:val="en-GB"/>
        </w:rPr>
        <w:t>B</w:t>
      </w:r>
      <w:proofErr w:type="spellEnd"/>
      <w:r w:rsidR="00FF1107" w:rsidRPr="006404EE">
        <w:rPr>
          <w:rFonts w:cs="Calibri"/>
          <w:lang w:val="en-GB"/>
        </w:rPr>
        <w:t xml:space="preserve"> is already very limited</w:t>
      </w:r>
      <w:r w:rsidR="000904CB" w:rsidRPr="006404EE">
        <w:rPr>
          <w:rFonts w:cs="Calibri"/>
          <w:lang w:val="en-GB"/>
        </w:rPr>
        <w:t>.</w:t>
      </w:r>
    </w:p>
    <w:p w14:paraId="0714036B" w14:textId="6D05DCAC" w:rsidR="00D54C64" w:rsidRPr="006404EE" w:rsidRDefault="00C47E4F" w:rsidP="00C47E4F">
      <w:pPr>
        <w:rPr>
          <w:rFonts w:cs="Calibri"/>
          <w:lang w:val="en-US"/>
        </w:rPr>
      </w:pPr>
      <w:r w:rsidRPr="006404EE">
        <w:rPr>
          <w:rFonts w:cs="Calibri"/>
          <w:lang w:val="en-US"/>
        </w:rPr>
        <w:t xml:space="preserve">We draw ESMA's attention to the fact that the publication of a base prospectus is </w:t>
      </w:r>
      <w:r w:rsidR="00BB2DF1" w:rsidRPr="006404EE">
        <w:rPr>
          <w:rFonts w:cs="Calibri"/>
          <w:lang w:val="en-US"/>
        </w:rPr>
        <w:t xml:space="preserve">more than </w:t>
      </w:r>
      <w:r w:rsidR="00B46684" w:rsidRPr="006404EE">
        <w:rPr>
          <w:rFonts w:cs="Calibri"/>
          <w:lang w:val="en-US"/>
        </w:rPr>
        <w:t>ten</w:t>
      </w:r>
      <w:r w:rsidRPr="006404EE">
        <w:rPr>
          <w:rFonts w:cs="Calibri"/>
          <w:lang w:val="en-US"/>
        </w:rPr>
        <w:t xml:space="preserve"> times more expensive</w:t>
      </w:r>
      <w:r w:rsidR="00762E5A" w:rsidRPr="006404EE">
        <w:rPr>
          <w:rFonts w:cs="Calibri"/>
          <w:lang w:val="en-GB"/>
        </w:rPr>
        <w:t xml:space="preserve"> and significantly longer</w:t>
      </w:r>
      <w:r w:rsidR="00762E5A" w:rsidRPr="006404EE">
        <w:rPr>
          <w:rFonts w:cs="Calibri"/>
          <w:vertAlign w:val="superscript"/>
        </w:rPr>
        <w:footnoteReference w:id="2"/>
      </w:r>
      <w:r w:rsidRPr="006404EE">
        <w:rPr>
          <w:rFonts w:cs="Calibri"/>
          <w:lang w:val="en-US"/>
        </w:rPr>
        <w:t xml:space="preserve"> than the publication of a supplement</w:t>
      </w:r>
      <w:r w:rsidR="003F65A4" w:rsidRPr="006404EE">
        <w:rPr>
          <w:rFonts w:cs="Calibri"/>
          <w:lang w:val="en-US"/>
        </w:rPr>
        <w:t xml:space="preserve">, which can mean missing </w:t>
      </w:r>
      <w:r w:rsidR="009D101F" w:rsidRPr="006404EE">
        <w:rPr>
          <w:rFonts w:cs="Calibri"/>
          <w:lang w:val="en-US"/>
        </w:rPr>
        <w:t>market windows.</w:t>
      </w:r>
      <w:r w:rsidR="00EC4633" w:rsidRPr="006404EE">
        <w:rPr>
          <w:rFonts w:cs="Calibri"/>
          <w:lang w:val="en-US"/>
        </w:rPr>
        <w:t xml:space="preserve"> The alternative of issuing a draw down prospectus or a new standalone </w:t>
      </w:r>
      <w:r w:rsidR="00C8583A" w:rsidRPr="006404EE">
        <w:rPr>
          <w:rFonts w:cs="Calibri"/>
          <w:lang w:val="en-US"/>
        </w:rPr>
        <w:t>base prospectus</w:t>
      </w:r>
      <w:r w:rsidR="00EC4633" w:rsidRPr="006404EE">
        <w:rPr>
          <w:rFonts w:cs="Calibri"/>
          <w:lang w:val="en-US"/>
        </w:rPr>
        <w:t xml:space="preserve"> to incorporate such new features would be </w:t>
      </w:r>
      <w:r w:rsidR="00654237" w:rsidRPr="006404EE">
        <w:rPr>
          <w:rFonts w:cs="Calibri"/>
          <w:lang w:val="en-US"/>
        </w:rPr>
        <w:t>overly costly and time-</w:t>
      </w:r>
      <w:r w:rsidR="00EC4633" w:rsidRPr="006404EE">
        <w:rPr>
          <w:rFonts w:cs="Calibri"/>
          <w:lang w:val="en-US"/>
        </w:rPr>
        <w:t>consuming.</w:t>
      </w:r>
      <w:r w:rsidRPr="006404EE">
        <w:rPr>
          <w:rFonts w:cs="Calibri"/>
          <w:lang w:val="en-US"/>
        </w:rPr>
        <w:t xml:space="preserve"> Any restriction </w:t>
      </w:r>
      <w:r w:rsidR="00576AC6" w:rsidRPr="006404EE">
        <w:rPr>
          <w:rFonts w:cs="Calibri"/>
          <w:lang w:val="en-US"/>
        </w:rPr>
        <w:t>to</w:t>
      </w:r>
      <w:r w:rsidRPr="006404EE">
        <w:rPr>
          <w:rFonts w:cs="Calibri"/>
          <w:lang w:val="en-US"/>
        </w:rPr>
        <w:t xml:space="preserve"> current practice in this respect therefore has extremely significant consequences in terms of the economics of issuing </w:t>
      </w:r>
      <w:r w:rsidR="00AE472D" w:rsidRPr="006404EE">
        <w:rPr>
          <w:rFonts w:cs="Calibri"/>
          <w:lang w:val="en-US"/>
        </w:rPr>
        <w:t>programs</w:t>
      </w:r>
      <w:r w:rsidRPr="006404EE">
        <w:rPr>
          <w:rFonts w:cs="Calibri"/>
          <w:lang w:val="en-US"/>
        </w:rPr>
        <w:t>. Any change must therefore be balanced and prudent and duly justified by the lack of correct information for investors in the current situation.</w:t>
      </w:r>
    </w:p>
    <w:p w14:paraId="72B9537B" w14:textId="2BF0463C" w:rsidR="00B36EC1" w:rsidRPr="006404EE" w:rsidRDefault="00B36EC1" w:rsidP="00B36EC1">
      <w:pPr>
        <w:pStyle w:val="Titre1"/>
        <w:rPr>
          <w:rStyle w:val="Titredulivre"/>
          <w:rFonts w:ascii="Calibri" w:hAnsi="Calibri" w:cs="Calibri"/>
          <w:b/>
          <w:bCs/>
          <w:i w:val="0"/>
          <w:iCs w:val="0"/>
          <w:color w:val="auto"/>
        </w:rPr>
      </w:pPr>
      <w:r w:rsidRPr="006404EE">
        <w:rPr>
          <w:rStyle w:val="Titredulivre"/>
          <w:rFonts w:ascii="Calibri" w:hAnsi="Calibri" w:cs="Calibri"/>
          <w:b/>
          <w:bCs/>
          <w:i w:val="0"/>
          <w:iCs w:val="0"/>
          <w:color w:val="auto"/>
        </w:rPr>
        <w:t>Section 3 – ESMA’s proposals</w:t>
      </w:r>
    </w:p>
    <w:p w14:paraId="005C81D4" w14:textId="77777777" w:rsidR="00B36EC1" w:rsidRPr="006404EE" w:rsidRDefault="00B36EC1" w:rsidP="00B36EC1">
      <w:pPr>
        <w:pStyle w:val="Generalcomments-Observationsgnrales"/>
        <w:rPr>
          <w:rStyle w:val="Titredulivre"/>
          <w:rFonts w:ascii="Calibri" w:hAnsi="Calibri" w:cs="Calibri"/>
          <w:b/>
          <w:bCs/>
          <w:i w:val="0"/>
          <w:iCs w:val="0"/>
          <w:color w:val="auto"/>
        </w:rPr>
      </w:pPr>
      <w:r w:rsidRPr="006404EE">
        <w:rPr>
          <w:rStyle w:val="Titredulivre"/>
          <w:rFonts w:ascii="Calibri" w:hAnsi="Calibri" w:cs="Calibri"/>
          <w:b/>
          <w:bCs/>
          <w:i w:val="0"/>
          <w:iCs w:val="0"/>
          <w:color w:val="auto"/>
        </w:rPr>
        <w:t>3.2 The proposed Guidelines</w:t>
      </w:r>
    </w:p>
    <w:p w14:paraId="72411C96" w14:textId="784BD9A8" w:rsidR="00B36EC1" w:rsidRPr="006404EE" w:rsidRDefault="00B36EC1" w:rsidP="00EF411F">
      <w:pPr>
        <w:pStyle w:val="Titre3"/>
        <w:rPr>
          <w:rFonts w:ascii="Calibri" w:hAnsi="Calibri" w:cs="Calibri"/>
          <w:color w:val="auto"/>
          <w:lang w:val="en-US"/>
        </w:rPr>
      </w:pPr>
      <w:r w:rsidRPr="006404EE">
        <w:rPr>
          <w:rFonts w:ascii="Calibri" w:hAnsi="Calibri" w:cs="Calibri"/>
          <w:color w:val="auto"/>
          <w:lang w:val="en-US"/>
        </w:rPr>
        <w:t xml:space="preserve">Question 1 – </w:t>
      </w:r>
      <w:r w:rsidR="00EF411F" w:rsidRPr="006404EE">
        <w:rPr>
          <w:rFonts w:ascii="Calibri" w:hAnsi="Calibri" w:cs="Calibri"/>
          <w:color w:val="auto"/>
          <w:lang w:val="en-US"/>
        </w:rPr>
        <w:t>Do you agree with draft Guideline 1 proposed by ESMA and ESMA’s reasoning? If not, please explain why.</w:t>
      </w:r>
    </w:p>
    <w:p w14:paraId="02517F78" w14:textId="49774373" w:rsidR="00B04BE0" w:rsidRPr="006404EE" w:rsidRDefault="00E91C00" w:rsidP="00EF411F">
      <w:pPr>
        <w:rPr>
          <w:rFonts w:cs="Calibri"/>
          <w:lang w:val="en-GB"/>
        </w:rPr>
      </w:pPr>
      <w:r w:rsidRPr="006404EE">
        <w:rPr>
          <w:rFonts w:cs="Calibri"/>
          <w:lang w:val="en-US"/>
        </w:rPr>
        <w:t xml:space="preserve">No, we do not agree with the draft Guideline 1 </w:t>
      </w:r>
      <w:r w:rsidR="00197B3B" w:rsidRPr="006404EE">
        <w:rPr>
          <w:rFonts w:cs="Calibri"/>
          <w:lang w:val="en-GB"/>
        </w:rPr>
        <w:t>as it goes against the Listing Act goals of burden reduction and access to capital</w:t>
      </w:r>
      <w:r w:rsidR="00AA0CC6" w:rsidRPr="006404EE">
        <w:rPr>
          <w:rFonts w:cs="Calibri"/>
          <w:lang w:val="en-GB"/>
        </w:rPr>
        <w:t xml:space="preserve"> </w:t>
      </w:r>
      <w:r w:rsidR="007F26E5" w:rsidRPr="006404EE">
        <w:rPr>
          <w:rFonts w:cs="Calibri"/>
          <w:lang w:val="en-US"/>
        </w:rPr>
        <w:t>and it goes</w:t>
      </w:r>
      <w:r w:rsidRPr="006404EE">
        <w:rPr>
          <w:rFonts w:cs="Calibri"/>
          <w:lang w:val="en-US"/>
        </w:rPr>
        <w:t xml:space="preserve"> beyond the text of art. 23</w:t>
      </w:r>
      <w:r w:rsidR="000A6E5B" w:rsidRPr="006404EE">
        <w:rPr>
          <w:rFonts w:cs="Calibri"/>
          <w:lang w:val="en-US"/>
        </w:rPr>
        <w:t>.4a</w:t>
      </w:r>
      <w:r w:rsidRPr="006404EE">
        <w:rPr>
          <w:rFonts w:cs="Calibri"/>
          <w:lang w:val="en-US"/>
        </w:rPr>
        <w:t xml:space="preserve"> of the Prospectus </w:t>
      </w:r>
      <w:r w:rsidR="00D64D12" w:rsidRPr="006404EE">
        <w:rPr>
          <w:rFonts w:cs="Calibri"/>
          <w:lang w:val="en-US"/>
        </w:rPr>
        <w:t>R</w:t>
      </w:r>
      <w:r w:rsidRPr="006404EE">
        <w:rPr>
          <w:rFonts w:cs="Calibri"/>
          <w:lang w:val="en-US"/>
        </w:rPr>
        <w:t>egulation</w:t>
      </w:r>
      <w:r w:rsidR="00B04BE0" w:rsidRPr="006404EE">
        <w:rPr>
          <w:rFonts w:cs="Calibri"/>
          <w:lang w:val="en-US"/>
        </w:rPr>
        <w:t xml:space="preserve">, </w:t>
      </w:r>
      <w:r w:rsidRPr="006404EE">
        <w:rPr>
          <w:rFonts w:cs="Calibri"/>
          <w:lang w:val="en-US"/>
        </w:rPr>
        <w:t xml:space="preserve">as modified by </w:t>
      </w:r>
      <w:r w:rsidR="00B04BE0" w:rsidRPr="006404EE">
        <w:rPr>
          <w:rFonts w:cs="Calibri"/>
          <w:lang w:val="en-US"/>
        </w:rPr>
        <w:t xml:space="preserve">the </w:t>
      </w:r>
      <w:r w:rsidR="003434D4" w:rsidRPr="006404EE">
        <w:rPr>
          <w:rFonts w:cs="Calibri"/>
          <w:lang w:val="en-US"/>
        </w:rPr>
        <w:t>R</w:t>
      </w:r>
      <w:r w:rsidR="00B04BE0" w:rsidRPr="006404EE">
        <w:rPr>
          <w:rFonts w:cs="Calibri"/>
          <w:lang w:val="en-US"/>
        </w:rPr>
        <w:t>egulation</w:t>
      </w:r>
      <w:r w:rsidR="00C8583A" w:rsidRPr="006404EE">
        <w:rPr>
          <w:rFonts w:cs="Calibri"/>
          <w:lang w:val="en-US"/>
        </w:rPr>
        <w:t xml:space="preserve"> Listing Act</w:t>
      </w:r>
      <w:r w:rsidR="00B04BE0" w:rsidRPr="006404EE">
        <w:rPr>
          <w:rFonts w:cs="Calibri"/>
          <w:lang w:val="en-US"/>
        </w:rPr>
        <w:t xml:space="preserve">. </w:t>
      </w:r>
      <w:r w:rsidR="002A07B1" w:rsidRPr="006404EE">
        <w:rPr>
          <w:rFonts w:cs="Calibri"/>
          <w:lang w:val="en-GB"/>
        </w:rPr>
        <w:t>We believe this conflicts with the Listing Act's intent to reduce regulatory and administrative burdens and enhance the European market's efficiency and competitiveness</w:t>
      </w:r>
      <w:r w:rsidR="0017709A" w:rsidRPr="006404EE">
        <w:rPr>
          <w:rFonts w:cs="Calibri"/>
          <w:lang w:val="en-GB"/>
        </w:rPr>
        <w:t>.</w:t>
      </w:r>
    </w:p>
    <w:p w14:paraId="3DF5BC17" w14:textId="31BA8440" w:rsidR="00B04BE0" w:rsidRPr="006404EE" w:rsidRDefault="00B04BE0" w:rsidP="00B04BE0">
      <w:pPr>
        <w:rPr>
          <w:rFonts w:cs="Calibri"/>
          <w:lang w:val="en-US"/>
        </w:rPr>
      </w:pPr>
      <w:r w:rsidRPr="006404EE">
        <w:rPr>
          <w:rFonts w:cs="Calibri"/>
          <w:lang w:val="en-US"/>
        </w:rPr>
        <w:t xml:space="preserve">New article </w:t>
      </w:r>
      <w:r w:rsidR="00C8583A" w:rsidRPr="006404EE">
        <w:rPr>
          <w:rFonts w:cs="Calibri"/>
          <w:lang w:val="en-US"/>
        </w:rPr>
        <w:t>23.</w:t>
      </w:r>
      <w:r w:rsidRPr="006404EE">
        <w:rPr>
          <w:rFonts w:cs="Calibri"/>
          <w:lang w:val="en-US"/>
        </w:rPr>
        <w:t>4a. of the PR provides that “</w:t>
      </w:r>
      <w:r w:rsidRPr="006404EE">
        <w:rPr>
          <w:rFonts w:cs="Calibri"/>
          <w:i/>
          <w:iCs/>
          <w:lang w:val="en-US"/>
        </w:rPr>
        <w:t xml:space="preserve">A supplement to a base prospectus shall not be used to introduce </w:t>
      </w:r>
      <w:r w:rsidRPr="006404EE">
        <w:rPr>
          <w:rFonts w:cs="Calibri"/>
          <w:i/>
          <w:iCs/>
          <w:u w:val="single"/>
          <w:lang w:val="en-US"/>
        </w:rPr>
        <w:t>a new type of security</w:t>
      </w:r>
      <w:r w:rsidRPr="006404EE">
        <w:rPr>
          <w:rFonts w:cs="Calibri"/>
          <w:i/>
          <w:iCs/>
          <w:lang w:val="en-US"/>
        </w:rPr>
        <w:t xml:space="preserve"> for which the necessary information has not been included in that base prospectus, (…)</w:t>
      </w:r>
      <w:r w:rsidRPr="006404EE">
        <w:rPr>
          <w:rFonts w:cs="Calibri"/>
          <w:lang w:val="en-US"/>
        </w:rPr>
        <w:t>.”</w:t>
      </w:r>
    </w:p>
    <w:p w14:paraId="0DAD12BA" w14:textId="0A927BE0" w:rsidR="00B04BE0" w:rsidRPr="006404EE" w:rsidRDefault="00B04BE0" w:rsidP="00EF411F">
      <w:pPr>
        <w:rPr>
          <w:rFonts w:cs="Calibri"/>
          <w:lang w:val="en-US"/>
        </w:rPr>
      </w:pPr>
      <w:r w:rsidRPr="006404EE">
        <w:rPr>
          <w:rFonts w:cs="Calibri"/>
          <w:lang w:val="en-US"/>
        </w:rPr>
        <w:t>However, the Guideline requires the establishment of a base prospectus not for a “</w:t>
      </w:r>
      <w:r w:rsidRPr="006404EE">
        <w:rPr>
          <w:rFonts w:cs="Calibri"/>
          <w:i/>
          <w:iCs/>
          <w:lang w:val="en-US"/>
        </w:rPr>
        <w:t>new type of security</w:t>
      </w:r>
      <w:r w:rsidRPr="006404EE">
        <w:rPr>
          <w:rFonts w:cs="Calibri"/>
          <w:lang w:val="en-US"/>
        </w:rPr>
        <w:t xml:space="preserve">”, as required by art. </w:t>
      </w:r>
      <w:r w:rsidR="00C8583A" w:rsidRPr="006404EE">
        <w:rPr>
          <w:rFonts w:cs="Calibri"/>
          <w:lang w:val="en-US"/>
        </w:rPr>
        <w:t>23.</w:t>
      </w:r>
      <w:r w:rsidRPr="006404EE">
        <w:rPr>
          <w:rFonts w:cs="Calibri"/>
          <w:lang w:val="en-US"/>
        </w:rPr>
        <w:t>4a. of the PR, but for “</w:t>
      </w:r>
      <w:r w:rsidRPr="006404EE">
        <w:rPr>
          <w:rFonts w:cs="Calibri"/>
          <w:i/>
          <w:iCs/>
          <w:lang w:val="en-US"/>
        </w:rPr>
        <w:t xml:space="preserve">new types of security </w:t>
      </w:r>
      <w:r w:rsidRPr="006404EE">
        <w:rPr>
          <w:rFonts w:cs="Calibri"/>
          <w:i/>
          <w:iCs/>
          <w:u w:val="single"/>
          <w:lang w:val="en-US"/>
        </w:rPr>
        <w:t>features</w:t>
      </w:r>
      <w:r w:rsidRPr="006404EE">
        <w:rPr>
          <w:rFonts w:cs="Calibri"/>
          <w:lang w:val="en-US"/>
        </w:rPr>
        <w:t xml:space="preserve">”. </w:t>
      </w:r>
    </w:p>
    <w:p w14:paraId="1B0EDD85" w14:textId="76B0D1B8" w:rsidR="00FB7DFF" w:rsidRPr="006404EE" w:rsidRDefault="00B04BE0" w:rsidP="00EF411F">
      <w:pPr>
        <w:rPr>
          <w:rFonts w:cs="Calibri"/>
          <w:lang w:val="en-US"/>
        </w:rPr>
      </w:pPr>
      <w:r w:rsidRPr="006404EE">
        <w:rPr>
          <w:rFonts w:cs="Calibri"/>
          <w:lang w:val="en-US"/>
        </w:rPr>
        <w:t xml:space="preserve">A new “feature” is not constitutive of a new </w:t>
      </w:r>
      <w:r w:rsidR="003434D4" w:rsidRPr="006404EE">
        <w:rPr>
          <w:rFonts w:cs="Calibri"/>
          <w:lang w:val="en-US"/>
        </w:rPr>
        <w:t xml:space="preserve">type of </w:t>
      </w:r>
      <w:r w:rsidRPr="006404EE">
        <w:rPr>
          <w:rFonts w:cs="Calibri"/>
          <w:lang w:val="en-US"/>
        </w:rPr>
        <w:t>security</w:t>
      </w:r>
      <w:r w:rsidR="00C8583A" w:rsidRPr="006404EE">
        <w:rPr>
          <w:rFonts w:cs="Calibri"/>
          <w:lang w:val="en-US"/>
        </w:rPr>
        <w:t xml:space="preserve"> </w:t>
      </w:r>
      <w:r w:rsidRPr="006404EE">
        <w:rPr>
          <w:rFonts w:cs="Calibri"/>
          <w:lang w:val="en-US"/>
        </w:rPr>
        <w:t xml:space="preserve">and </w:t>
      </w:r>
      <w:r w:rsidR="00654237" w:rsidRPr="006404EE">
        <w:rPr>
          <w:rFonts w:cs="Calibri"/>
          <w:lang w:val="en-US"/>
        </w:rPr>
        <w:t>we invite</w:t>
      </w:r>
      <w:r w:rsidRPr="006404EE">
        <w:rPr>
          <w:rFonts w:cs="Calibri"/>
          <w:lang w:val="en-US"/>
        </w:rPr>
        <w:t xml:space="preserve"> ESMA to</w:t>
      </w:r>
      <w:r w:rsidR="00C8583A" w:rsidRPr="006404EE">
        <w:rPr>
          <w:rFonts w:cs="Calibri"/>
          <w:lang w:val="en-US"/>
        </w:rPr>
        <w:t xml:space="preserve"> remain within the legislative limits and accept</w:t>
      </w:r>
      <w:r w:rsidRPr="006404EE">
        <w:rPr>
          <w:rFonts w:cs="Calibri"/>
          <w:lang w:val="en-US"/>
        </w:rPr>
        <w:t xml:space="preserve"> that a supplement may be used to introduce new features, as long as the supplement </w:t>
      </w:r>
      <w:r w:rsidR="00C8583A" w:rsidRPr="006404EE">
        <w:rPr>
          <w:rFonts w:cs="Calibri"/>
          <w:lang w:val="en-US"/>
        </w:rPr>
        <w:t>does not introduce a new type of securit</w:t>
      </w:r>
      <w:r w:rsidR="00A57B41" w:rsidRPr="006404EE">
        <w:rPr>
          <w:rFonts w:cs="Calibri"/>
          <w:lang w:val="en-US"/>
        </w:rPr>
        <w:t>y</w:t>
      </w:r>
      <w:r w:rsidRPr="006404EE">
        <w:rPr>
          <w:rFonts w:cs="Calibri"/>
          <w:lang w:val="en-US"/>
        </w:rPr>
        <w:t>.</w:t>
      </w:r>
    </w:p>
    <w:p w14:paraId="7E5432EA" w14:textId="565EFA91" w:rsidR="00045725" w:rsidRPr="006404EE" w:rsidRDefault="000C5EDE" w:rsidP="00045725">
      <w:pPr>
        <w:rPr>
          <w:rFonts w:cs="Calibri"/>
          <w:lang w:val="en-US"/>
        </w:rPr>
      </w:pPr>
      <w:r w:rsidRPr="006404EE">
        <w:rPr>
          <w:rFonts w:cs="Calibri"/>
          <w:lang w:val="en-US"/>
        </w:rPr>
        <w:t>For instance</w:t>
      </w:r>
      <w:r w:rsidR="006A0978" w:rsidRPr="006404EE">
        <w:rPr>
          <w:rFonts w:cs="Calibri"/>
          <w:lang w:val="en-US"/>
        </w:rPr>
        <w:t xml:space="preserve">, </w:t>
      </w:r>
      <w:r w:rsidR="00BD7B75" w:rsidRPr="006404EE">
        <w:rPr>
          <w:rFonts w:cs="Calibri"/>
          <w:lang w:val="en-US"/>
        </w:rPr>
        <w:t>considering the example of green bonds</w:t>
      </w:r>
      <w:r w:rsidR="004E7B2A" w:rsidRPr="006404EE">
        <w:rPr>
          <w:rFonts w:cs="Calibri"/>
          <w:lang w:val="en-US"/>
        </w:rPr>
        <w:t>.</w:t>
      </w:r>
      <w:r w:rsidR="004E7B2A" w:rsidRPr="006404EE">
        <w:rPr>
          <w:rFonts w:cs="Calibri"/>
          <w:lang w:val="en-GB"/>
        </w:rPr>
        <w:t xml:space="preserve"> A green bond is a </w:t>
      </w:r>
      <w:r w:rsidR="00654237" w:rsidRPr="006404EE">
        <w:rPr>
          <w:rFonts w:cs="Calibri"/>
          <w:lang w:val="en-GB"/>
        </w:rPr>
        <w:t>”regular” bond</w:t>
      </w:r>
      <w:r w:rsidR="004E7B2A" w:rsidRPr="006404EE">
        <w:rPr>
          <w:rFonts w:cs="Calibri"/>
          <w:lang w:val="en-GB"/>
        </w:rPr>
        <w:t xml:space="preserve"> with a different use of proceeds and a specific risk factor.</w:t>
      </w:r>
      <w:r w:rsidR="00BD7B75" w:rsidRPr="006404EE">
        <w:rPr>
          <w:rFonts w:cs="Calibri"/>
          <w:lang w:val="en-US"/>
        </w:rPr>
        <w:t xml:space="preserve"> </w:t>
      </w:r>
      <w:r w:rsidR="004E7B2A" w:rsidRPr="006404EE">
        <w:rPr>
          <w:rFonts w:cs="Calibri"/>
          <w:lang w:val="en-US"/>
        </w:rPr>
        <w:t>T</w:t>
      </w:r>
      <w:r w:rsidR="00BD7B75" w:rsidRPr="006404EE">
        <w:rPr>
          <w:rFonts w:cs="Calibri"/>
          <w:lang w:val="en-US"/>
        </w:rPr>
        <w:t xml:space="preserve">he </w:t>
      </w:r>
      <w:r w:rsidRPr="006404EE">
        <w:rPr>
          <w:rFonts w:cs="Calibri"/>
          <w:lang w:val="en-US"/>
        </w:rPr>
        <w:t>designation of proceeds for ESG-related projects can be considered as a new feature but it does not change the essential nature of the instruments, and such targeted use can be effectively communicated via a supplement without requiring the establishment of a new base prospectus.</w:t>
      </w:r>
      <w:r w:rsidR="00AA207C" w:rsidRPr="006404EE">
        <w:rPr>
          <w:rFonts w:cs="Calibri"/>
          <w:lang w:val="en-US"/>
        </w:rPr>
        <w:t xml:space="preserve"> The supplement is reviewed and commented upon by the regulator and the final terms include a reference to the supplement</w:t>
      </w:r>
      <w:r w:rsidR="004D03AC" w:rsidRPr="006404EE">
        <w:rPr>
          <w:rFonts w:cs="Calibri"/>
          <w:lang w:val="en-US"/>
        </w:rPr>
        <w:t>, so the use of a supplement does not affect the quality and accessibility of the information provided to the market.</w:t>
      </w:r>
      <w:r w:rsidR="00045725" w:rsidRPr="006404EE">
        <w:rPr>
          <w:rFonts w:cs="Calibri"/>
          <w:lang w:val="en-US"/>
        </w:rPr>
        <w:t xml:space="preserve"> </w:t>
      </w:r>
    </w:p>
    <w:p w14:paraId="2D6B4A2C" w14:textId="35FCE2F0" w:rsidR="006A0978" w:rsidRPr="006404EE" w:rsidRDefault="00AF2316" w:rsidP="00EF411F">
      <w:pPr>
        <w:rPr>
          <w:rFonts w:cs="Calibri"/>
          <w:lang w:val="en-US"/>
        </w:rPr>
      </w:pPr>
      <w:r w:rsidRPr="006404EE">
        <w:rPr>
          <w:rFonts w:cs="Calibri"/>
          <w:lang w:val="en-US"/>
        </w:rPr>
        <w:t>Likewise, adding a new type of early repayment such as a make-whole clause or a clean-up clause or new benchmarks or indexes by means of a supplement should remain possible. This does not change the security type as provided for in art. 23.4</w:t>
      </w:r>
      <w:r w:rsidR="00D15FF4" w:rsidRPr="006404EE">
        <w:rPr>
          <w:rFonts w:cs="Calibri"/>
          <w:lang w:val="en-US"/>
        </w:rPr>
        <w:t>a</w:t>
      </w:r>
      <w:r w:rsidRPr="006404EE">
        <w:rPr>
          <w:rFonts w:cs="Calibri"/>
          <w:lang w:val="en-US"/>
        </w:rPr>
        <w:t xml:space="preserve"> of the Prospectus Regulation.</w:t>
      </w:r>
    </w:p>
    <w:p w14:paraId="37BA9014" w14:textId="2BDC741E" w:rsidR="002A07B1" w:rsidRPr="006404EE" w:rsidRDefault="00F37A95" w:rsidP="002A07B1">
      <w:pPr>
        <w:rPr>
          <w:rFonts w:cs="Calibri"/>
          <w:lang w:val="en-GB"/>
        </w:rPr>
      </w:pPr>
      <w:sdt>
        <w:sdtPr>
          <w:rPr>
            <w:rFonts w:cs="Calibri"/>
          </w:rPr>
          <w:tag w:val="goog_rdk_11"/>
          <w:id w:val="-2009974182"/>
        </w:sdtPr>
        <w:sdtEndPr/>
        <w:sdtContent/>
      </w:sdt>
      <w:r w:rsidR="002A07B1" w:rsidRPr="006404EE">
        <w:rPr>
          <w:rFonts w:cs="Calibri"/>
          <w:lang w:val="en-GB"/>
        </w:rPr>
        <w:t>Furthermore, ESMA may wish to assess NCAs' workload against their staffing levels. Mandating regular updates of base prospectuses, rather than supplements, may create bottlenecks for some NCAs during specific timeframes or the temptation for issuers to arbitrate between NCAs on the basis of staffing levels, which is not virtuous.</w:t>
      </w:r>
    </w:p>
    <w:p w14:paraId="4E685144" w14:textId="75DAA93C" w:rsidR="002A07B1" w:rsidRPr="006404EE" w:rsidRDefault="002A07B1" w:rsidP="002A07B1">
      <w:pPr>
        <w:rPr>
          <w:rFonts w:cs="Calibri"/>
          <w:lang w:val="en-GB"/>
        </w:rPr>
      </w:pPr>
    </w:p>
    <w:p w14:paraId="07C8BE40" w14:textId="77777777" w:rsidR="00FB7DFF" w:rsidRPr="006404EE" w:rsidRDefault="00FB7DFF" w:rsidP="00EF411F">
      <w:pPr>
        <w:rPr>
          <w:rFonts w:cs="Calibri"/>
          <w:lang w:val="en-US"/>
        </w:rPr>
      </w:pPr>
    </w:p>
    <w:p w14:paraId="70BA0339" w14:textId="3333F9D8" w:rsidR="00B36EC1" w:rsidRPr="006404EE" w:rsidRDefault="00B36EC1" w:rsidP="00EF411F">
      <w:pPr>
        <w:pStyle w:val="Titre3"/>
        <w:rPr>
          <w:rFonts w:ascii="Calibri" w:hAnsi="Calibri" w:cs="Calibri"/>
          <w:color w:val="auto"/>
          <w:lang w:val="en-US"/>
        </w:rPr>
      </w:pPr>
      <w:r w:rsidRPr="006404EE">
        <w:rPr>
          <w:rFonts w:ascii="Calibri" w:hAnsi="Calibri" w:cs="Calibri"/>
          <w:color w:val="auto"/>
          <w:lang w:val="en-US"/>
        </w:rPr>
        <w:t xml:space="preserve">Question 2 – </w:t>
      </w:r>
      <w:r w:rsidR="00EF411F" w:rsidRPr="006404EE">
        <w:rPr>
          <w:rFonts w:ascii="Calibri" w:hAnsi="Calibri" w:cs="Calibri"/>
          <w:color w:val="auto"/>
          <w:lang w:val="en-US"/>
        </w:rPr>
        <w:t>Do you agree with draft Guideline 2 proposed by ESMA and ESMA’s reasoning? If not, please explain why.</w:t>
      </w:r>
    </w:p>
    <w:p w14:paraId="3F58582B" w14:textId="6D387D4C" w:rsidR="00B36EC1" w:rsidRPr="006404EE" w:rsidRDefault="00654237" w:rsidP="00B36EC1">
      <w:pPr>
        <w:rPr>
          <w:rFonts w:cs="Calibri"/>
          <w:lang w:val="en-US"/>
        </w:rPr>
      </w:pPr>
      <w:r w:rsidRPr="006404EE">
        <w:rPr>
          <w:rFonts w:cs="Calibri"/>
          <w:lang w:val="en-US"/>
        </w:rPr>
        <w:t>We do</w:t>
      </w:r>
      <w:r w:rsidR="00E63A4A" w:rsidRPr="006404EE">
        <w:rPr>
          <w:rFonts w:cs="Calibri"/>
          <w:lang w:val="en-US"/>
        </w:rPr>
        <w:t xml:space="preserve"> not agree with the</w:t>
      </w:r>
      <w:r w:rsidR="00AD303D" w:rsidRPr="006404EE">
        <w:rPr>
          <w:rFonts w:cs="Calibri"/>
          <w:lang w:val="en-US"/>
        </w:rPr>
        <w:t xml:space="preserve"> current</w:t>
      </w:r>
      <w:r w:rsidR="00E63A4A" w:rsidRPr="006404EE">
        <w:rPr>
          <w:rFonts w:cs="Calibri"/>
          <w:lang w:val="en-US"/>
        </w:rPr>
        <w:t xml:space="preserve"> draft Guideline 2</w:t>
      </w:r>
      <w:r w:rsidR="00AD303D" w:rsidRPr="006404EE">
        <w:rPr>
          <w:rFonts w:cs="Calibri"/>
          <w:lang w:val="en-US"/>
        </w:rPr>
        <w:t>, but a softened version of Guideline 2 could be adopted to</w:t>
      </w:r>
      <w:r w:rsidR="00707EA6" w:rsidRPr="006404EE">
        <w:rPr>
          <w:rFonts w:cs="Calibri"/>
          <w:lang w:val="en-US"/>
        </w:rPr>
        <w:t xml:space="preserve"> specify the </w:t>
      </w:r>
      <w:r w:rsidR="00011661" w:rsidRPr="006404EE">
        <w:rPr>
          <w:rFonts w:cs="Calibri"/>
          <w:lang w:val="en-US"/>
        </w:rPr>
        <w:t xml:space="preserve">limited </w:t>
      </w:r>
      <w:r w:rsidR="00707EA6" w:rsidRPr="006404EE">
        <w:rPr>
          <w:rFonts w:cs="Calibri"/>
          <w:lang w:val="en-US"/>
        </w:rPr>
        <w:t xml:space="preserve">circumstances in which a supplement is to be considered </w:t>
      </w:r>
      <w:r w:rsidR="009E5A0C" w:rsidRPr="006404EE">
        <w:rPr>
          <w:rFonts w:cs="Calibri"/>
          <w:lang w:val="en-US"/>
        </w:rPr>
        <w:t xml:space="preserve">as </w:t>
      </w:r>
      <w:r w:rsidR="00707EA6" w:rsidRPr="006404EE">
        <w:rPr>
          <w:rFonts w:cs="Calibri"/>
          <w:lang w:val="en-US"/>
        </w:rPr>
        <w:t>introduc</w:t>
      </w:r>
      <w:r w:rsidR="009E5A0C" w:rsidRPr="006404EE">
        <w:rPr>
          <w:rFonts w:cs="Calibri"/>
          <w:lang w:val="en-US"/>
        </w:rPr>
        <w:t>ing</w:t>
      </w:r>
      <w:r w:rsidR="00707EA6" w:rsidRPr="006404EE">
        <w:rPr>
          <w:rFonts w:cs="Calibri"/>
          <w:lang w:val="en-US"/>
        </w:rPr>
        <w:t xml:space="preserve"> a new type of security</w:t>
      </w:r>
      <w:r w:rsidR="00011661" w:rsidRPr="006404EE">
        <w:rPr>
          <w:rFonts w:cs="Calibri"/>
          <w:lang w:val="en-US"/>
        </w:rPr>
        <w:t>. It would allow some flexibility for issuers</w:t>
      </w:r>
      <w:r w:rsidR="000838A8" w:rsidRPr="006404EE">
        <w:rPr>
          <w:rFonts w:cs="Calibri"/>
          <w:lang w:val="en-US"/>
        </w:rPr>
        <w:t xml:space="preserve">, in line with </w:t>
      </w:r>
      <w:r w:rsidR="00AC317F" w:rsidRPr="006404EE">
        <w:rPr>
          <w:rFonts w:cs="Calibri"/>
          <w:lang w:val="en-GB"/>
        </w:rPr>
        <w:t>the Listing Act goals of burden reduction and access to capital</w:t>
      </w:r>
      <w:r w:rsidR="000838A8" w:rsidRPr="006404EE">
        <w:rPr>
          <w:rFonts w:cs="Calibri"/>
          <w:lang w:val="en-GB"/>
        </w:rPr>
        <w:t>, without affecting the quality of the information given to the market</w:t>
      </w:r>
      <w:r w:rsidR="00E63A4A" w:rsidRPr="006404EE">
        <w:rPr>
          <w:rFonts w:cs="Calibri"/>
          <w:lang w:val="en-US"/>
        </w:rPr>
        <w:t xml:space="preserve">. </w:t>
      </w:r>
      <w:r w:rsidR="00572D79" w:rsidRPr="006404EE">
        <w:rPr>
          <w:rFonts w:cs="Calibri"/>
          <w:lang w:val="en-US"/>
        </w:rPr>
        <w:t xml:space="preserve">Such </w:t>
      </w:r>
      <w:r w:rsidR="00F600E2" w:rsidRPr="006404EE">
        <w:rPr>
          <w:rFonts w:cs="Calibri"/>
          <w:lang w:val="en-US"/>
        </w:rPr>
        <w:t>a softened</w:t>
      </w:r>
      <w:r w:rsidR="009D22F1" w:rsidRPr="006404EE">
        <w:rPr>
          <w:rFonts w:cs="Calibri"/>
          <w:lang w:val="en-US"/>
        </w:rPr>
        <w:t xml:space="preserve"> version of Guideline 2 </w:t>
      </w:r>
      <w:r w:rsidR="00D15FF4" w:rsidRPr="006404EE">
        <w:rPr>
          <w:rFonts w:cs="Calibri"/>
          <w:lang w:val="en-US"/>
        </w:rPr>
        <w:t>c</w:t>
      </w:r>
      <w:r w:rsidR="009D22F1" w:rsidRPr="006404EE">
        <w:rPr>
          <w:rFonts w:cs="Calibri"/>
          <w:lang w:val="en-US"/>
        </w:rPr>
        <w:t xml:space="preserve">ould distinguish between new features </w:t>
      </w:r>
      <w:r w:rsidR="00AF7719" w:rsidRPr="006404EE">
        <w:rPr>
          <w:rFonts w:cs="Calibri"/>
          <w:lang w:val="en-US"/>
        </w:rPr>
        <w:t>for existing types of securit</w:t>
      </w:r>
      <w:r w:rsidR="00AD5753" w:rsidRPr="006404EE">
        <w:rPr>
          <w:rFonts w:cs="Calibri"/>
          <w:lang w:val="en-US"/>
        </w:rPr>
        <w:t>ies</w:t>
      </w:r>
      <w:r w:rsidR="00AF7719" w:rsidRPr="006404EE">
        <w:rPr>
          <w:rFonts w:cs="Calibri"/>
          <w:lang w:val="en-US"/>
        </w:rPr>
        <w:t xml:space="preserve"> </w:t>
      </w:r>
      <w:r w:rsidR="009D22F1" w:rsidRPr="006404EE">
        <w:rPr>
          <w:rFonts w:cs="Calibri"/>
          <w:lang w:val="en-US"/>
        </w:rPr>
        <w:t xml:space="preserve">(which can </w:t>
      </w:r>
      <w:r w:rsidR="00F600E2" w:rsidRPr="006404EE">
        <w:rPr>
          <w:rFonts w:cs="Calibri"/>
          <w:lang w:val="en-US"/>
        </w:rPr>
        <w:t>be introduced through</w:t>
      </w:r>
      <w:r w:rsidR="00AF7719" w:rsidRPr="006404EE">
        <w:rPr>
          <w:rFonts w:cs="Calibri"/>
          <w:lang w:val="en-US"/>
        </w:rPr>
        <w:t xml:space="preserve"> a supplement)</w:t>
      </w:r>
      <w:r w:rsidR="00F600E2" w:rsidRPr="006404EE">
        <w:rPr>
          <w:rFonts w:cs="Calibri"/>
          <w:lang w:val="en-US"/>
        </w:rPr>
        <w:t xml:space="preserve"> and new types of securit</w:t>
      </w:r>
      <w:r w:rsidR="00AD5753" w:rsidRPr="006404EE">
        <w:rPr>
          <w:rFonts w:cs="Calibri"/>
          <w:lang w:val="en-US"/>
        </w:rPr>
        <w:t>ies</w:t>
      </w:r>
      <w:r w:rsidR="00F600E2" w:rsidRPr="006404EE">
        <w:rPr>
          <w:rFonts w:cs="Calibri"/>
          <w:lang w:val="en-US"/>
        </w:rPr>
        <w:t xml:space="preserve"> (which cannot be introduced through a supplement).</w:t>
      </w:r>
    </w:p>
    <w:p w14:paraId="650E1B7C" w14:textId="7E3152B3" w:rsidR="007539D0" w:rsidRPr="006404EE" w:rsidRDefault="00D15FF4" w:rsidP="00B36EC1">
      <w:pPr>
        <w:rPr>
          <w:rFonts w:cs="Calibri"/>
          <w:lang w:val="en-US"/>
        </w:rPr>
      </w:pPr>
      <w:r w:rsidRPr="006404EE">
        <w:rPr>
          <w:rFonts w:cs="Calibri"/>
          <w:lang w:val="en-US"/>
        </w:rPr>
        <w:t>ESMA’s</w:t>
      </w:r>
      <w:r w:rsidR="00F04C7B" w:rsidRPr="006404EE">
        <w:rPr>
          <w:rFonts w:cs="Calibri"/>
          <w:lang w:val="en-US"/>
        </w:rPr>
        <w:t xml:space="preserve"> recommendation to issuers to consider the various types of securit</w:t>
      </w:r>
      <w:r w:rsidR="00C42D65" w:rsidRPr="006404EE">
        <w:rPr>
          <w:rFonts w:cs="Calibri"/>
          <w:lang w:val="en-US"/>
        </w:rPr>
        <w:t>ies</w:t>
      </w:r>
      <w:r w:rsidR="006B65D2" w:rsidRPr="006404EE">
        <w:rPr>
          <w:rFonts w:cs="Calibri"/>
          <w:lang w:val="en-US"/>
        </w:rPr>
        <w:t xml:space="preserve"> </w:t>
      </w:r>
      <w:r w:rsidR="00F04C7B" w:rsidRPr="006404EE">
        <w:rPr>
          <w:rFonts w:cs="Calibri"/>
          <w:lang w:val="en-US"/>
        </w:rPr>
        <w:t xml:space="preserve">they reasonably expect to </w:t>
      </w:r>
      <w:r w:rsidR="006B65D2" w:rsidRPr="006404EE">
        <w:rPr>
          <w:rFonts w:cs="Calibri"/>
          <w:lang w:val="en-US"/>
        </w:rPr>
        <w:t xml:space="preserve">use </w:t>
      </w:r>
      <w:r w:rsidR="00F04C7B" w:rsidRPr="006404EE">
        <w:rPr>
          <w:rFonts w:cs="Calibri"/>
          <w:lang w:val="en-US"/>
        </w:rPr>
        <w:t>during the validity period of the base prospectus</w:t>
      </w:r>
      <w:r w:rsidR="00A7577C" w:rsidRPr="006404EE">
        <w:rPr>
          <w:rFonts w:cs="Calibri"/>
          <w:lang w:val="en-US"/>
        </w:rPr>
        <w:t xml:space="preserve"> </w:t>
      </w:r>
      <w:r w:rsidR="00E037C7" w:rsidRPr="006404EE">
        <w:rPr>
          <w:rFonts w:cs="Calibri"/>
          <w:lang w:val="en-US"/>
        </w:rPr>
        <w:t>is not practicable. Securities issuances programs last over a period of one year.</w:t>
      </w:r>
      <w:r w:rsidR="00B46684" w:rsidRPr="006404EE">
        <w:rPr>
          <w:rFonts w:cs="Calibri"/>
          <w:lang w:val="en-US"/>
        </w:rPr>
        <w:t xml:space="preserve"> New factors might arise</w:t>
      </w:r>
      <w:r w:rsidR="00C8583A" w:rsidRPr="006404EE">
        <w:rPr>
          <w:rFonts w:cs="Calibri"/>
          <w:lang w:val="en-US"/>
        </w:rPr>
        <w:t>, for example resulting from mar</w:t>
      </w:r>
      <w:r w:rsidR="00F457A0" w:rsidRPr="006404EE">
        <w:rPr>
          <w:rFonts w:cs="Calibri"/>
          <w:lang w:val="en-US"/>
        </w:rPr>
        <w:t>k</w:t>
      </w:r>
      <w:r w:rsidR="00C8583A" w:rsidRPr="006404EE">
        <w:rPr>
          <w:rFonts w:cs="Calibri"/>
          <w:lang w:val="en-US"/>
        </w:rPr>
        <w:t>et conditions</w:t>
      </w:r>
      <w:r w:rsidR="00F457A0" w:rsidRPr="006404EE">
        <w:rPr>
          <w:rFonts w:cs="Calibri"/>
          <w:lang w:val="en-US"/>
        </w:rPr>
        <w:t xml:space="preserve"> or investors' appetite</w:t>
      </w:r>
      <w:r w:rsidR="00C8583A" w:rsidRPr="006404EE">
        <w:rPr>
          <w:rFonts w:cs="Calibri"/>
          <w:lang w:val="en-US"/>
        </w:rPr>
        <w:t>,</w:t>
      </w:r>
      <w:r w:rsidR="00B46684" w:rsidRPr="006404EE">
        <w:rPr>
          <w:rFonts w:cs="Calibri"/>
          <w:lang w:val="en-US"/>
        </w:rPr>
        <w:t xml:space="preserve"> that require</w:t>
      </w:r>
      <w:r w:rsidR="00353CA8" w:rsidRPr="006404EE">
        <w:rPr>
          <w:rFonts w:cs="Calibri"/>
          <w:lang w:val="en-US"/>
        </w:rPr>
        <w:t xml:space="preserve"> an issuer </w:t>
      </w:r>
      <w:r w:rsidR="00B46684" w:rsidRPr="006404EE">
        <w:rPr>
          <w:rFonts w:cs="Calibri"/>
          <w:lang w:val="en-US"/>
        </w:rPr>
        <w:t xml:space="preserve">to include new features in the base prospectus </w:t>
      </w:r>
      <w:r w:rsidR="00EC4633" w:rsidRPr="006404EE">
        <w:rPr>
          <w:rFonts w:cs="Calibri"/>
          <w:lang w:val="en-US"/>
        </w:rPr>
        <w:t>during that</w:t>
      </w:r>
      <w:r w:rsidR="00B46684" w:rsidRPr="006404EE">
        <w:rPr>
          <w:rFonts w:cs="Calibri"/>
          <w:lang w:val="en-US"/>
        </w:rPr>
        <w:t xml:space="preserve"> year</w:t>
      </w:r>
      <w:r w:rsidR="00353CA8" w:rsidRPr="006404EE">
        <w:rPr>
          <w:rFonts w:cs="Calibri"/>
          <w:lang w:val="en-US"/>
        </w:rPr>
        <w:t>.</w:t>
      </w:r>
    </w:p>
    <w:p w14:paraId="195DF60A" w14:textId="1C67DEE5" w:rsidR="00A039C6" w:rsidRPr="006404EE" w:rsidRDefault="005A3876" w:rsidP="00B36EC1">
      <w:pPr>
        <w:rPr>
          <w:rFonts w:cs="Calibri"/>
          <w:lang w:val="en-US"/>
        </w:rPr>
      </w:pPr>
      <w:r w:rsidRPr="006404EE">
        <w:rPr>
          <w:rFonts w:cs="Calibri"/>
          <w:lang w:val="en-GB"/>
        </w:rPr>
        <w:t>I</w:t>
      </w:r>
      <w:r w:rsidR="0097129F" w:rsidRPr="006404EE">
        <w:rPr>
          <w:rFonts w:cs="Calibri"/>
          <w:lang w:val="en-GB"/>
        </w:rPr>
        <w:t xml:space="preserve">ssuers need to be in a position to be opportunist and to react fast in a context of great volatility of the markets. For example, the introduction of an option for early redemption of bonds issued to finance an acquisition at the occasion of an annual update may be badly interpretated and seen by the market as the signal for an acquisition transaction to come. It is then easier to introduce it via a supplement when an acquisition has already been publicly announced. Considering that an </w:t>
      </w:r>
      <w:r w:rsidR="00654237" w:rsidRPr="006404EE">
        <w:rPr>
          <w:rFonts w:cs="Calibri"/>
          <w:lang w:val="en-GB"/>
        </w:rPr>
        <w:t>“</w:t>
      </w:r>
      <w:r w:rsidR="0097129F" w:rsidRPr="006404EE">
        <w:rPr>
          <w:rFonts w:cs="Calibri"/>
          <w:lang w:val="en-GB"/>
        </w:rPr>
        <w:t>Issuer early redemption option</w:t>
      </w:r>
      <w:r w:rsidR="00654237" w:rsidRPr="006404EE">
        <w:rPr>
          <w:rFonts w:cs="Calibri"/>
          <w:lang w:val="en-GB"/>
        </w:rPr>
        <w:t>”</w:t>
      </w:r>
      <w:r w:rsidR="0097129F" w:rsidRPr="006404EE">
        <w:rPr>
          <w:rFonts w:cs="Calibri"/>
          <w:lang w:val="en-GB"/>
        </w:rPr>
        <w:t xml:space="preserve"> is already provided for in the base prospectus, this early redemption option for acquisition is just a declination of the former. It should then be possible to introduce it through a supplement.</w:t>
      </w:r>
    </w:p>
    <w:p w14:paraId="3A1F9E6C" w14:textId="71C122B9" w:rsidR="005B26AD" w:rsidRPr="006404EE" w:rsidRDefault="0003369E" w:rsidP="00B36EC1">
      <w:pPr>
        <w:rPr>
          <w:rFonts w:cs="Calibri"/>
          <w:lang w:val="en-US"/>
        </w:rPr>
      </w:pPr>
      <w:r w:rsidRPr="006404EE">
        <w:rPr>
          <w:rFonts w:cs="Calibri"/>
          <w:lang w:val="en-GB"/>
        </w:rPr>
        <w:t>It may be that on the annual update, the framework was not ready yet to be referred to in the base prospectus or that there were no green projects to finance at the time.</w:t>
      </w:r>
      <w:r w:rsidR="00A039C6" w:rsidRPr="006404EE">
        <w:rPr>
          <w:rFonts w:cs="Calibri"/>
          <w:lang w:val="en-GB"/>
        </w:rPr>
        <w:t xml:space="preserve"> The selection of ESG criteria and/or the calibration of targets may not be achieved in full at the date of the annual update. Considering that an SLB is a fixed or floating interest note with an interest rate variation or step up mechanism, it should be considered that it is only a declination of a general option in the base prospectus to adjust the interest rate or the repayment price on certain criteria.</w:t>
      </w:r>
    </w:p>
    <w:p w14:paraId="30FA0378" w14:textId="51898C7F" w:rsidR="005F22DE" w:rsidRPr="006404EE" w:rsidRDefault="005B26AD" w:rsidP="00B36EC1">
      <w:pPr>
        <w:rPr>
          <w:rFonts w:cs="Calibri"/>
          <w:lang w:val="en-US"/>
        </w:rPr>
      </w:pPr>
      <w:r w:rsidRPr="006404EE">
        <w:rPr>
          <w:rFonts w:cs="Calibri"/>
          <w:lang w:val="en-US"/>
        </w:rPr>
        <w:t>For example, and in relation to par. 15</w:t>
      </w:r>
      <w:r w:rsidR="00BD261C" w:rsidRPr="006404EE">
        <w:rPr>
          <w:rFonts w:cs="Calibri"/>
          <w:lang w:val="en-US"/>
        </w:rPr>
        <w:t xml:space="preserve"> of the consultation document</w:t>
      </w:r>
      <w:r w:rsidRPr="006404EE">
        <w:rPr>
          <w:rFonts w:cs="Calibri"/>
          <w:lang w:val="en-US"/>
        </w:rPr>
        <w:t xml:space="preserve">, the issuer </w:t>
      </w:r>
      <w:r w:rsidR="005246D0" w:rsidRPr="006404EE">
        <w:rPr>
          <w:rFonts w:cs="Calibri"/>
          <w:lang w:val="en-US"/>
        </w:rPr>
        <w:t xml:space="preserve">may </w:t>
      </w:r>
      <w:r w:rsidRPr="006404EE">
        <w:rPr>
          <w:rFonts w:cs="Calibri"/>
          <w:lang w:val="en-US"/>
        </w:rPr>
        <w:t xml:space="preserve">not know in advance whether </w:t>
      </w:r>
      <w:r w:rsidR="00654237" w:rsidRPr="006404EE">
        <w:rPr>
          <w:rFonts w:cs="Calibri"/>
          <w:lang w:val="en-US"/>
        </w:rPr>
        <w:t>it</w:t>
      </w:r>
      <w:r w:rsidRPr="006404EE">
        <w:rPr>
          <w:rFonts w:cs="Calibri"/>
          <w:lang w:val="en-US"/>
        </w:rPr>
        <w:t xml:space="preserve"> will issue </w:t>
      </w:r>
      <w:r w:rsidR="00170BDE" w:rsidRPr="006404EE">
        <w:rPr>
          <w:rFonts w:cs="Calibri"/>
          <w:lang w:val="en-US"/>
        </w:rPr>
        <w:t>“</w:t>
      </w:r>
      <w:r w:rsidRPr="006404EE">
        <w:rPr>
          <w:rFonts w:cs="Calibri"/>
          <w:i/>
          <w:iCs/>
          <w:lang w:val="en-US"/>
        </w:rPr>
        <w:t xml:space="preserve">green bonds, </w:t>
      </w:r>
      <w:r w:rsidR="00170BDE" w:rsidRPr="006404EE">
        <w:rPr>
          <w:rFonts w:cs="Calibri"/>
          <w:i/>
          <w:iCs/>
          <w:lang w:val="en-US"/>
        </w:rPr>
        <w:t>sustainability-linked bonds, guaranteed notes, equity linked notes</w:t>
      </w:r>
      <w:r w:rsidR="00170BDE" w:rsidRPr="006404EE">
        <w:rPr>
          <w:rFonts w:cs="Calibri"/>
          <w:lang w:val="en-US"/>
        </w:rPr>
        <w:t xml:space="preserve">” etc. </w:t>
      </w:r>
      <w:r w:rsidR="00212327" w:rsidRPr="006404EE">
        <w:rPr>
          <w:rFonts w:cs="Calibri"/>
          <w:lang w:val="en-US"/>
        </w:rPr>
        <w:t>Nonetheless,</w:t>
      </w:r>
      <w:r w:rsidR="00F20B71" w:rsidRPr="006404EE">
        <w:rPr>
          <w:rFonts w:cs="Calibri"/>
          <w:lang w:val="en-US"/>
        </w:rPr>
        <w:t xml:space="preserve"> </w:t>
      </w:r>
      <w:r w:rsidR="00654237" w:rsidRPr="006404EE">
        <w:rPr>
          <w:rFonts w:cs="Calibri"/>
          <w:lang w:val="en-US"/>
        </w:rPr>
        <w:t>it</w:t>
      </w:r>
      <w:r w:rsidR="00F20B71" w:rsidRPr="006404EE">
        <w:rPr>
          <w:rFonts w:cs="Calibri"/>
          <w:lang w:val="en-US"/>
        </w:rPr>
        <w:t xml:space="preserve"> should have the option to add one of these features through a supplement if a market need appears before the next update of its base prospectus. </w:t>
      </w:r>
    </w:p>
    <w:p w14:paraId="42B87729" w14:textId="113618A8" w:rsidR="00C8583A" w:rsidRPr="006404EE" w:rsidRDefault="00C45408" w:rsidP="00B36EC1">
      <w:pPr>
        <w:rPr>
          <w:rFonts w:cs="Calibri"/>
          <w:lang w:val="en-US"/>
        </w:rPr>
      </w:pPr>
      <w:r w:rsidRPr="006404EE">
        <w:rPr>
          <w:rFonts w:cs="Calibri"/>
          <w:lang w:val="en-US"/>
        </w:rPr>
        <w:t xml:space="preserve">In this respect, the position that ESMA provides is stricter than the position of </w:t>
      </w:r>
      <w:r w:rsidR="00341438" w:rsidRPr="006404EE">
        <w:rPr>
          <w:rFonts w:cs="Calibri"/>
          <w:lang w:val="en-US"/>
        </w:rPr>
        <w:t xml:space="preserve">some </w:t>
      </w:r>
      <w:r w:rsidR="00654237" w:rsidRPr="006404EE">
        <w:rPr>
          <w:rFonts w:cs="Calibri"/>
          <w:lang w:val="en-US"/>
        </w:rPr>
        <w:t>NCAs</w:t>
      </w:r>
      <w:r w:rsidR="000A5CBC" w:rsidRPr="006404EE">
        <w:rPr>
          <w:rFonts w:cs="Calibri"/>
          <w:lang w:val="en-US"/>
        </w:rPr>
        <w:t>. We strongly disagree with this change of policy</w:t>
      </w:r>
      <w:r w:rsidR="00C8583A" w:rsidRPr="006404EE">
        <w:rPr>
          <w:rFonts w:cs="Calibri"/>
          <w:lang w:val="en-US"/>
        </w:rPr>
        <w:t xml:space="preserve"> which is contrary to the text of the PR and</w:t>
      </w:r>
      <w:r w:rsidR="000A5CBC" w:rsidRPr="006404EE">
        <w:rPr>
          <w:rFonts w:cs="Calibri"/>
          <w:lang w:val="en-US"/>
        </w:rPr>
        <w:t xml:space="preserve"> </w:t>
      </w:r>
      <w:r w:rsidR="005376E6" w:rsidRPr="006404EE">
        <w:rPr>
          <w:rFonts w:cs="Calibri"/>
          <w:lang w:val="en-US"/>
        </w:rPr>
        <w:t>does</w:t>
      </w:r>
      <w:r w:rsidR="000A5CBC" w:rsidRPr="006404EE">
        <w:rPr>
          <w:rFonts w:cs="Calibri"/>
          <w:lang w:val="en-US"/>
        </w:rPr>
        <w:t xml:space="preserve"> not </w:t>
      </w:r>
      <w:r w:rsidR="005376E6" w:rsidRPr="006404EE">
        <w:rPr>
          <w:rFonts w:cs="Calibri"/>
          <w:lang w:val="en-US"/>
        </w:rPr>
        <w:t xml:space="preserve">provide </w:t>
      </w:r>
      <w:r w:rsidR="00D46431" w:rsidRPr="006404EE">
        <w:rPr>
          <w:rFonts w:cs="Calibri"/>
          <w:lang w:val="en-US"/>
        </w:rPr>
        <w:t>investors</w:t>
      </w:r>
      <w:r w:rsidR="00D46431" w:rsidRPr="006404EE" w:rsidDel="00480682">
        <w:rPr>
          <w:rFonts w:cs="Calibri"/>
          <w:lang w:val="en-US"/>
        </w:rPr>
        <w:t xml:space="preserve"> </w:t>
      </w:r>
      <w:r w:rsidR="00D46431" w:rsidRPr="006404EE">
        <w:rPr>
          <w:rFonts w:cs="Calibri"/>
          <w:lang w:val="en-US"/>
        </w:rPr>
        <w:t xml:space="preserve">with </w:t>
      </w:r>
      <w:r w:rsidR="000A5CBC" w:rsidRPr="006404EE">
        <w:rPr>
          <w:rFonts w:cs="Calibri"/>
          <w:lang w:val="en-US"/>
        </w:rPr>
        <w:t>better information</w:t>
      </w:r>
      <w:r w:rsidR="000E7458" w:rsidRPr="006404EE">
        <w:rPr>
          <w:rFonts w:cs="Calibri"/>
          <w:lang w:val="en-US"/>
        </w:rPr>
        <w:t>,</w:t>
      </w:r>
      <w:r w:rsidR="000A5CBC" w:rsidRPr="006404EE">
        <w:rPr>
          <w:rFonts w:cs="Calibri"/>
          <w:lang w:val="en-US"/>
        </w:rPr>
        <w:t xml:space="preserve"> but will lead to a considerable increase </w:t>
      </w:r>
      <w:r w:rsidR="00654237" w:rsidRPr="006404EE">
        <w:rPr>
          <w:rFonts w:cs="Calibri"/>
          <w:lang w:val="en-US"/>
        </w:rPr>
        <w:t>in</w:t>
      </w:r>
      <w:r w:rsidR="000A5CBC" w:rsidRPr="006404EE">
        <w:rPr>
          <w:rFonts w:cs="Calibri"/>
          <w:lang w:val="en-US"/>
        </w:rPr>
        <w:t xml:space="preserve"> </w:t>
      </w:r>
      <w:r w:rsidR="001F4E36" w:rsidRPr="006404EE">
        <w:rPr>
          <w:rFonts w:cs="Calibri"/>
          <w:lang w:val="en-US"/>
        </w:rPr>
        <w:t>issuance costs</w:t>
      </w:r>
      <w:r w:rsidR="002A07B1" w:rsidRPr="006404EE">
        <w:rPr>
          <w:rFonts w:cs="Calibri"/>
          <w:lang w:val="en-GB"/>
        </w:rPr>
        <w:t xml:space="preserve"> and delays. This could, in turn, lead issuers </w:t>
      </w:r>
      <w:r w:rsidR="000E7458" w:rsidRPr="006404EE">
        <w:rPr>
          <w:rFonts w:cs="Calibri"/>
          <w:lang w:val="en-GB"/>
        </w:rPr>
        <w:t xml:space="preserve">to </w:t>
      </w:r>
      <w:r w:rsidR="002A07B1" w:rsidRPr="006404EE">
        <w:rPr>
          <w:rFonts w:cs="Calibri"/>
          <w:lang w:val="en-GB"/>
        </w:rPr>
        <w:t xml:space="preserve">miss critical market opportunities within identified issuance windows, and, in the </w:t>
      </w:r>
      <w:r w:rsidR="006A0BC4" w:rsidRPr="006404EE">
        <w:rPr>
          <w:rFonts w:cs="Calibri"/>
          <w:lang w:val="en-GB"/>
        </w:rPr>
        <w:t>wors</w:t>
      </w:r>
      <w:r w:rsidR="00A4542D" w:rsidRPr="006404EE">
        <w:rPr>
          <w:rFonts w:cs="Calibri"/>
          <w:lang w:val="en-GB"/>
        </w:rPr>
        <w:t>t</w:t>
      </w:r>
      <w:r w:rsidR="006A0BC4" w:rsidRPr="006404EE">
        <w:rPr>
          <w:rFonts w:cs="Calibri"/>
          <w:lang w:val="en-GB"/>
        </w:rPr>
        <w:t xml:space="preserve"> case</w:t>
      </w:r>
      <w:r w:rsidR="000E7458" w:rsidRPr="006404EE">
        <w:rPr>
          <w:rFonts w:cs="Calibri"/>
          <w:lang w:val="en-GB"/>
        </w:rPr>
        <w:t xml:space="preserve"> </w:t>
      </w:r>
      <w:r w:rsidR="002A07B1" w:rsidRPr="006404EE">
        <w:rPr>
          <w:rFonts w:cs="Calibri"/>
          <w:lang w:val="en-GB"/>
        </w:rPr>
        <w:t xml:space="preserve">scenario, to switch in practice to bank financing or </w:t>
      </w:r>
      <w:r w:rsidR="00AF6638" w:rsidRPr="006404EE">
        <w:rPr>
          <w:rFonts w:cs="Calibri"/>
          <w:lang w:val="en-GB"/>
        </w:rPr>
        <w:t>to alternative listing venues</w:t>
      </w:r>
      <w:r w:rsidR="002A07B1" w:rsidRPr="006404EE">
        <w:rPr>
          <w:rFonts w:cs="Calibri"/>
          <w:lang w:val="en-GB"/>
        </w:rPr>
        <w:t xml:space="preserve"> with less rigid regulations</w:t>
      </w:r>
      <w:r w:rsidR="001F4E36" w:rsidRPr="006404EE">
        <w:rPr>
          <w:rFonts w:cs="Calibri"/>
          <w:lang w:val="en-US"/>
        </w:rPr>
        <w:t>.</w:t>
      </w:r>
    </w:p>
    <w:p w14:paraId="4EBDF0BB" w14:textId="5A9B8CD7" w:rsidR="00127D94" w:rsidRPr="006404EE" w:rsidRDefault="00127D94" w:rsidP="00127D94">
      <w:pPr>
        <w:rPr>
          <w:rFonts w:cs="Calibri"/>
          <w:lang w:val="en-GB"/>
        </w:rPr>
      </w:pPr>
      <w:r w:rsidRPr="006404EE">
        <w:rPr>
          <w:rFonts w:cs="Calibri"/>
          <w:lang w:val="en-GB"/>
        </w:rPr>
        <w:t xml:space="preserve">Likewise, a new pay-off not provided for in the base prospectus does not constitute a “new type of security”, as this is a new feature of a security, but not a new type of security. </w:t>
      </w:r>
    </w:p>
    <w:p w14:paraId="1DB5FB82" w14:textId="13878594" w:rsidR="00C8583A" w:rsidRPr="006404EE" w:rsidRDefault="00295E9F" w:rsidP="00B36EC1">
      <w:pPr>
        <w:rPr>
          <w:rFonts w:cs="Calibri"/>
          <w:i/>
          <w:iCs/>
          <w:lang w:val="en-US"/>
        </w:rPr>
      </w:pPr>
      <w:r w:rsidRPr="006404EE">
        <w:rPr>
          <w:rFonts w:cs="Calibri"/>
          <w:lang w:val="en-US"/>
        </w:rPr>
        <w:t xml:space="preserve">Guideline 2 should be limited to cases where </w:t>
      </w:r>
      <w:r w:rsidR="009F309B" w:rsidRPr="006404EE">
        <w:rPr>
          <w:rFonts w:cs="Calibri"/>
          <w:lang w:val="en-US"/>
        </w:rPr>
        <w:t>it is obvious that a new</w:t>
      </w:r>
      <w:r w:rsidRPr="006404EE">
        <w:rPr>
          <w:rFonts w:cs="Calibri"/>
          <w:lang w:val="en-US"/>
        </w:rPr>
        <w:t xml:space="preserve"> type of security </w:t>
      </w:r>
      <w:r w:rsidR="009F309B" w:rsidRPr="006404EE">
        <w:rPr>
          <w:rFonts w:cs="Calibri"/>
          <w:lang w:val="en-US"/>
        </w:rPr>
        <w:t>is being introduced, such as</w:t>
      </w:r>
      <w:r w:rsidR="00387EC1" w:rsidRPr="006404EE">
        <w:rPr>
          <w:rFonts w:cs="Calibri"/>
          <w:lang w:val="en-US"/>
        </w:rPr>
        <w:t xml:space="preserve"> including warrants in a base prospectus for vanilla debt or including convertibility options.</w:t>
      </w:r>
      <w:r w:rsidR="00691DAC" w:rsidRPr="006404EE">
        <w:rPr>
          <w:rFonts w:cs="Calibri"/>
          <w:lang w:val="en-US"/>
        </w:rPr>
        <w:t xml:space="preserve"> However, </w:t>
      </w:r>
      <w:r w:rsidR="00E3215F" w:rsidRPr="006404EE">
        <w:rPr>
          <w:rFonts w:cs="Calibri"/>
          <w:lang w:val="en-US"/>
        </w:rPr>
        <w:t>we strongly disagree with the statement in par. 16 of the consultation</w:t>
      </w:r>
      <w:r w:rsidR="00BD261C" w:rsidRPr="006404EE">
        <w:rPr>
          <w:rFonts w:cs="Calibri"/>
          <w:lang w:val="en-US"/>
        </w:rPr>
        <w:t xml:space="preserve"> document</w:t>
      </w:r>
      <w:r w:rsidR="00E3215F" w:rsidRPr="006404EE">
        <w:rPr>
          <w:rFonts w:cs="Calibri"/>
          <w:lang w:val="en-US"/>
        </w:rPr>
        <w:t xml:space="preserve"> that </w:t>
      </w:r>
      <w:r w:rsidR="00681295" w:rsidRPr="006404EE">
        <w:rPr>
          <w:rFonts w:cs="Calibri"/>
          <w:lang w:val="en-US"/>
        </w:rPr>
        <w:t>sustainability-linked securities would be a new type of securit</w:t>
      </w:r>
      <w:r w:rsidR="00BD261C" w:rsidRPr="006404EE">
        <w:rPr>
          <w:rFonts w:cs="Calibri"/>
          <w:lang w:val="en-US"/>
        </w:rPr>
        <w:t>ies</w:t>
      </w:r>
      <w:r w:rsidR="00681295" w:rsidRPr="006404EE">
        <w:rPr>
          <w:rFonts w:cs="Calibri"/>
          <w:lang w:val="en-US"/>
        </w:rPr>
        <w:t xml:space="preserve"> if the base prospectus already includes step-up mechanisms.</w:t>
      </w:r>
    </w:p>
    <w:p w14:paraId="01982CF4" w14:textId="090EBD84" w:rsidR="00EF411F" w:rsidRPr="006404EE" w:rsidRDefault="00B36EC1" w:rsidP="00EF411F">
      <w:pPr>
        <w:pStyle w:val="Titre3"/>
        <w:rPr>
          <w:rFonts w:ascii="Calibri" w:hAnsi="Calibri" w:cs="Calibri"/>
          <w:color w:val="auto"/>
          <w:lang w:val="en-US"/>
        </w:rPr>
      </w:pPr>
      <w:r w:rsidRPr="006404EE">
        <w:rPr>
          <w:rFonts w:ascii="Calibri" w:hAnsi="Calibri" w:cs="Calibri"/>
          <w:color w:val="auto"/>
          <w:lang w:val="en-US"/>
        </w:rPr>
        <w:t xml:space="preserve">Question 3 – </w:t>
      </w:r>
      <w:r w:rsidR="00EF411F" w:rsidRPr="006404EE">
        <w:rPr>
          <w:rFonts w:ascii="Calibri" w:hAnsi="Calibri" w:cs="Calibri"/>
          <w:color w:val="auto"/>
          <w:lang w:val="en-US"/>
        </w:rPr>
        <w:t>Do you believe draft Guideline 2 will lead to longer and less comprehensible prospectuses? If yes, please explain why and describe how you would solve this issue.</w:t>
      </w:r>
    </w:p>
    <w:p w14:paraId="5BA84231" w14:textId="3F0E828A" w:rsidR="00D043ED" w:rsidRPr="006404EE" w:rsidRDefault="00D043ED" w:rsidP="00D043ED">
      <w:pPr>
        <w:rPr>
          <w:rFonts w:cs="Calibri"/>
          <w:lang w:val="en-US"/>
        </w:rPr>
      </w:pPr>
      <w:r w:rsidRPr="006404EE">
        <w:rPr>
          <w:rFonts w:cs="Calibri"/>
          <w:lang w:val="en-US"/>
        </w:rPr>
        <w:t xml:space="preserve">Issuers using </w:t>
      </w:r>
      <w:r w:rsidR="00654237" w:rsidRPr="006404EE">
        <w:rPr>
          <w:rFonts w:cs="Calibri"/>
          <w:lang w:val="en-US"/>
        </w:rPr>
        <w:t>base p</w:t>
      </w:r>
      <w:r w:rsidRPr="006404EE">
        <w:rPr>
          <w:rFonts w:cs="Calibri"/>
          <w:lang w:val="en-US"/>
        </w:rPr>
        <w:t xml:space="preserve">rospectuses generally already aim at ensuring they include the products they expect to issue during their annual </w:t>
      </w:r>
      <w:r w:rsidR="00654237" w:rsidRPr="006404EE">
        <w:rPr>
          <w:rFonts w:cs="Calibri"/>
          <w:lang w:val="en-US"/>
        </w:rPr>
        <w:t>base prospectus</w:t>
      </w:r>
      <w:r w:rsidRPr="006404EE">
        <w:rPr>
          <w:rFonts w:cs="Calibri"/>
          <w:lang w:val="en-US"/>
        </w:rPr>
        <w:t xml:space="preserve"> update, but they need to use supplements to be able to react to market conditions and have the flexibility to cover innovation.</w:t>
      </w:r>
    </w:p>
    <w:p w14:paraId="61002FD6" w14:textId="0725D5B6" w:rsidR="00D043ED" w:rsidRPr="006404EE" w:rsidRDefault="00D043ED" w:rsidP="00D043ED">
      <w:pPr>
        <w:rPr>
          <w:rFonts w:cs="Calibri"/>
          <w:lang w:val="en-US"/>
        </w:rPr>
      </w:pPr>
      <w:r w:rsidRPr="006404EE">
        <w:rPr>
          <w:rFonts w:cs="Calibri"/>
          <w:lang w:val="en-US"/>
        </w:rPr>
        <w:t xml:space="preserve">Such </w:t>
      </w:r>
      <w:r w:rsidR="00654237" w:rsidRPr="006404EE">
        <w:rPr>
          <w:rFonts w:cs="Calibri"/>
          <w:lang w:val="en-US"/>
        </w:rPr>
        <w:t xml:space="preserve">base prospectuses </w:t>
      </w:r>
      <w:r w:rsidRPr="006404EE">
        <w:rPr>
          <w:rFonts w:cs="Calibri"/>
          <w:lang w:val="en-US"/>
        </w:rPr>
        <w:t>may be long documents, as many different types of securities are described. However, w</w:t>
      </w:r>
      <w:r w:rsidR="00654237" w:rsidRPr="006404EE">
        <w:rPr>
          <w:rFonts w:cs="Calibri"/>
          <w:lang w:val="en-US"/>
        </w:rPr>
        <w:t xml:space="preserve">e do not believe it would make </w:t>
      </w:r>
      <w:r w:rsidRPr="006404EE">
        <w:rPr>
          <w:rFonts w:cs="Calibri"/>
          <w:lang w:val="en-US"/>
        </w:rPr>
        <w:t>them less comprehensible as the length of a prospectus is not a measure of its readability for investors.</w:t>
      </w:r>
    </w:p>
    <w:p w14:paraId="1B6599BE" w14:textId="768590D0" w:rsidR="00EA52E4" w:rsidRPr="006404EE" w:rsidRDefault="00D043ED" w:rsidP="00EA52E4">
      <w:pPr>
        <w:rPr>
          <w:rFonts w:cs="Calibri"/>
          <w:lang w:val="en-GB"/>
        </w:rPr>
      </w:pPr>
      <w:r w:rsidRPr="006404EE">
        <w:rPr>
          <w:rFonts w:cs="Calibri"/>
          <w:lang w:val="en-US"/>
        </w:rPr>
        <w:t>Investors subscribing to different product types can find the related information in a single document and it allows the NCA to have a global view of the products intended to be offered during the annual review process. It also saves the burden &amp; costs both for the issuers and the NCA of respectively drawing up and scrutinizing several prospectuses.</w:t>
      </w:r>
    </w:p>
    <w:p w14:paraId="6110A4EF" w14:textId="6F9C4BBB" w:rsidR="00EF411F" w:rsidRPr="006404EE" w:rsidRDefault="00B36EC1" w:rsidP="00EF411F">
      <w:pPr>
        <w:pStyle w:val="Titre3"/>
        <w:rPr>
          <w:rFonts w:ascii="Calibri" w:hAnsi="Calibri" w:cs="Calibri"/>
          <w:color w:val="auto"/>
          <w:lang w:val="en-US"/>
        </w:rPr>
      </w:pPr>
      <w:r w:rsidRPr="006404EE">
        <w:rPr>
          <w:rFonts w:ascii="Calibri" w:hAnsi="Calibri" w:cs="Calibri"/>
          <w:color w:val="auto"/>
          <w:lang w:val="en-US"/>
        </w:rPr>
        <w:t xml:space="preserve">Question 4 – </w:t>
      </w:r>
      <w:r w:rsidR="00EF411F" w:rsidRPr="006404EE">
        <w:rPr>
          <w:rFonts w:ascii="Calibri" w:hAnsi="Calibri" w:cs="Calibri"/>
          <w:color w:val="auto"/>
          <w:lang w:val="en-US"/>
        </w:rPr>
        <w:t>The explanatory text under draft Guideline 2 identifies ‘green bonds’ and ‘sustainability-linked notes’ as distinct securities for the purpose of these Guidelines. Do you agree with that, or do you think they are the same as ‘regular’ bonds or ‘regular’ structured products? To the extent you consider ‘green bonds’ and ‘sustainability-linked notes’ to be the same as ‘regular’ bonds or ‘regular’ structured products, please explain why. In particular, make clear why, for example, a currency-linked note, or index-linked note, should be treated differently to a ‘sustainability-linked note’ for the purpose of these Guidelines. Please also consider factors such as the oncoming Annex [21] in your response.</w:t>
      </w:r>
    </w:p>
    <w:p w14:paraId="4C5EE634" w14:textId="5D0807D2" w:rsidR="009A5889" w:rsidRPr="006404EE" w:rsidRDefault="00654237" w:rsidP="009A5889">
      <w:pPr>
        <w:rPr>
          <w:rFonts w:cs="Calibri"/>
          <w:lang w:val="en-GB"/>
        </w:rPr>
      </w:pPr>
      <w:r w:rsidRPr="006404EE">
        <w:rPr>
          <w:rFonts w:cs="Calibri"/>
          <w:lang w:val="en-GB"/>
        </w:rPr>
        <w:t>We do</w:t>
      </w:r>
      <w:r w:rsidR="009A5889" w:rsidRPr="006404EE">
        <w:rPr>
          <w:rFonts w:cs="Calibri"/>
          <w:lang w:val="en-GB"/>
        </w:rPr>
        <w:t xml:space="preserve"> not consider </w:t>
      </w:r>
      <w:r w:rsidR="009B7C41" w:rsidRPr="006404EE">
        <w:rPr>
          <w:rFonts w:cs="Calibri"/>
          <w:lang w:val="en-GB"/>
        </w:rPr>
        <w:t>”</w:t>
      </w:r>
      <w:r w:rsidR="009A5889" w:rsidRPr="006404EE">
        <w:rPr>
          <w:rFonts w:cs="Calibri"/>
          <w:lang w:val="en-GB"/>
        </w:rPr>
        <w:t>green bonds</w:t>
      </w:r>
      <w:r w:rsidR="009B7C41" w:rsidRPr="006404EE">
        <w:rPr>
          <w:rFonts w:cs="Calibri"/>
          <w:lang w:val="en-GB"/>
        </w:rPr>
        <w:t>”</w:t>
      </w:r>
      <w:r w:rsidR="009A5889" w:rsidRPr="006404EE">
        <w:rPr>
          <w:rFonts w:cs="Calibri"/>
          <w:lang w:val="en-GB"/>
        </w:rPr>
        <w:t xml:space="preserve"> and </w:t>
      </w:r>
      <w:r w:rsidR="009B7C41" w:rsidRPr="006404EE">
        <w:rPr>
          <w:rFonts w:cs="Calibri"/>
          <w:lang w:val="en-GB"/>
        </w:rPr>
        <w:t>”</w:t>
      </w:r>
      <w:r w:rsidR="009A5889" w:rsidRPr="006404EE">
        <w:rPr>
          <w:rFonts w:cs="Calibri"/>
          <w:lang w:val="en-GB"/>
        </w:rPr>
        <w:t>sustainability-linked notes</w:t>
      </w:r>
      <w:r w:rsidR="009B7C41" w:rsidRPr="006404EE">
        <w:rPr>
          <w:rFonts w:cs="Calibri"/>
          <w:lang w:val="en-GB"/>
        </w:rPr>
        <w:t>”</w:t>
      </w:r>
      <w:r w:rsidR="009A5889" w:rsidRPr="006404EE">
        <w:rPr>
          <w:rFonts w:cs="Calibri"/>
          <w:lang w:val="en-GB"/>
        </w:rPr>
        <w:t xml:space="preserve"> a</w:t>
      </w:r>
      <w:r w:rsidR="009B7C41" w:rsidRPr="006404EE">
        <w:rPr>
          <w:rFonts w:cs="Calibri"/>
          <w:lang w:val="en-GB"/>
        </w:rPr>
        <w:t>s</w:t>
      </w:r>
      <w:r w:rsidR="009A5889" w:rsidRPr="006404EE">
        <w:rPr>
          <w:rFonts w:cs="Calibri"/>
          <w:lang w:val="en-GB"/>
        </w:rPr>
        <w:t xml:space="preserve"> distinct securit</w:t>
      </w:r>
      <w:r w:rsidR="009B7C41" w:rsidRPr="006404EE">
        <w:rPr>
          <w:rFonts w:cs="Calibri"/>
          <w:lang w:val="en-GB"/>
        </w:rPr>
        <w:t>ies</w:t>
      </w:r>
      <w:r w:rsidR="009A5889" w:rsidRPr="006404EE">
        <w:rPr>
          <w:rFonts w:cs="Calibri"/>
          <w:lang w:val="en-GB"/>
        </w:rPr>
        <w:t xml:space="preserve"> </w:t>
      </w:r>
      <w:r w:rsidR="009B7C41" w:rsidRPr="006404EE">
        <w:rPr>
          <w:rFonts w:cs="Calibri"/>
          <w:lang w:val="en-GB"/>
        </w:rPr>
        <w:t>from</w:t>
      </w:r>
      <w:r w:rsidR="009A5889" w:rsidRPr="006404EE">
        <w:rPr>
          <w:rFonts w:cs="Calibri"/>
          <w:lang w:val="en-GB"/>
        </w:rPr>
        <w:t xml:space="preserve"> </w:t>
      </w:r>
      <w:r w:rsidR="009B7C41" w:rsidRPr="006404EE">
        <w:rPr>
          <w:rFonts w:cs="Calibri"/>
          <w:lang w:val="en-GB"/>
        </w:rPr>
        <w:t>”</w:t>
      </w:r>
      <w:r w:rsidR="009A5889" w:rsidRPr="006404EE">
        <w:rPr>
          <w:rFonts w:cs="Calibri"/>
          <w:lang w:val="en-GB"/>
        </w:rPr>
        <w:t>regular</w:t>
      </w:r>
      <w:r w:rsidR="009B7C41" w:rsidRPr="006404EE">
        <w:rPr>
          <w:rFonts w:cs="Calibri"/>
          <w:lang w:val="en-GB"/>
        </w:rPr>
        <w:t>”</w:t>
      </w:r>
      <w:r w:rsidR="009A5889" w:rsidRPr="006404EE">
        <w:rPr>
          <w:rFonts w:cs="Calibri"/>
          <w:lang w:val="en-GB"/>
        </w:rPr>
        <w:t xml:space="preserve"> bonds or </w:t>
      </w:r>
      <w:r w:rsidR="009B7C41" w:rsidRPr="006404EE">
        <w:rPr>
          <w:rFonts w:cs="Calibri"/>
          <w:lang w:val="en-GB"/>
        </w:rPr>
        <w:t>”</w:t>
      </w:r>
      <w:r w:rsidR="009A5889" w:rsidRPr="006404EE">
        <w:rPr>
          <w:rFonts w:cs="Calibri"/>
          <w:lang w:val="en-GB"/>
        </w:rPr>
        <w:t>regular</w:t>
      </w:r>
      <w:r w:rsidR="009B7C41" w:rsidRPr="006404EE">
        <w:rPr>
          <w:rFonts w:cs="Calibri"/>
          <w:lang w:val="en-GB"/>
        </w:rPr>
        <w:t>”</w:t>
      </w:r>
      <w:r w:rsidR="009A5889" w:rsidRPr="006404EE">
        <w:rPr>
          <w:rFonts w:cs="Calibri"/>
          <w:lang w:val="en-GB"/>
        </w:rPr>
        <w:t xml:space="preserve"> structured products. </w:t>
      </w:r>
    </w:p>
    <w:p w14:paraId="31E503D4" w14:textId="79606079" w:rsidR="00BA205B" w:rsidRPr="006404EE" w:rsidRDefault="00BA205B" w:rsidP="009A5889">
      <w:pPr>
        <w:rPr>
          <w:rFonts w:cs="Calibri"/>
          <w:lang w:val="en-GB"/>
        </w:rPr>
      </w:pPr>
      <w:r w:rsidRPr="006404EE">
        <w:rPr>
          <w:rFonts w:cs="Calibri"/>
          <w:lang w:val="en-GB"/>
        </w:rPr>
        <w:t>As per our answer to question</w:t>
      </w:r>
      <w:r w:rsidR="004557B4" w:rsidRPr="006404EE">
        <w:rPr>
          <w:rFonts w:cs="Calibri"/>
          <w:lang w:val="en-GB"/>
        </w:rPr>
        <w:t>s 1 and</w:t>
      </w:r>
      <w:r w:rsidRPr="006404EE">
        <w:rPr>
          <w:rFonts w:cs="Calibri"/>
          <w:lang w:val="en-GB"/>
        </w:rPr>
        <w:t xml:space="preserve"> 2 above, the specificities related to green aspects should not require the establishment of a new base prospectus, because </w:t>
      </w:r>
      <w:r w:rsidR="007C108E" w:rsidRPr="006404EE">
        <w:rPr>
          <w:rFonts w:cs="Calibri"/>
          <w:lang w:val="en-GB"/>
        </w:rPr>
        <w:t>they do</w:t>
      </w:r>
      <w:r w:rsidRPr="006404EE">
        <w:rPr>
          <w:rFonts w:cs="Calibri"/>
          <w:lang w:val="en-GB"/>
        </w:rPr>
        <w:t xml:space="preserve"> not change the intrinsic nature</w:t>
      </w:r>
      <w:r w:rsidR="004F2396" w:rsidRPr="006404EE">
        <w:rPr>
          <w:rFonts w:cs="Calibri"/>
          <w:lang w:val="en-GB"/>
        </w:rPr>
        <w:t>, or type,</w:t>
      </w:r>
      <w:r w:rsidRPr="006404EE">
        <w:rPr>
          <w:rFonts w:cs="Calibri"/>
          <w:lang w:val="en-GB"/>
        </w:rPr>
        <w:t xml:space="preserve"> of the securit</w:t>
      </w:r>
      <w:r w:rsidR="007C108E" w:rsidRPr="006404EE">
        <w:rPr>
          <w:rFonts w:cs="Calibri"/>
          <w:lang w:val="en-GB"/>
        </w:rPr>
        <w:t>ies</w:t>
      </w:r>
      <w:r w:rsidRPr="006404EE">
        <w:rPr>
          <w:rFonts w:cs="Calibri"/>
          <w:lang w:val="en-GB"/>
        </w:rPr>
        <w:t xml:space="preserve">, which </w:t>
      </w:r>
      <w:r w:rsidR="002D0A59" w:rsidRPr="006404EE">
        <w:rPr>
          <w:rFonts w:cs="Calibri"/>
          <w:lang w:val="en-GB"/>
        </w:rPr>
        <w:t xml:space="preserve">is </w:t>
      </w:r>
      <w:r w:rsidRPr="006404EE">
        <w:rPr>
          <w:rFonts w:cs="Calibri"/>
          <w:lang w:val="en-GB"/>
        </w:rPr>
        <w:t xml:space="preserve">a bond or a structured product. Therefore, it should be possible to issue green bonds under a </w:t>
      </w:r>
      <w:r w:rsidR="004B373A" w:rsidRPr="006404EE">
        <w:rPr>
          <w:rFonts w:cs="Calibri"/>
          <w:lang w:val="en-GB"/>
        </w:rPr>
        <w:t>regular</w:t>
      </w:r>
      <w:r w:rsidRPr="006404EE">
        <w:rPr>
          <w:rFonts w:cs="Calibri"/>
          <w:lang w:val="en-GB"/>
        </w:rPr>
        <w:t xml:space="preserve"> bonds issuance program</w:t>
      </w:r>
      <w:r w:rsidR="00E83954" w:rsidRPr="006404EE">
        <w:rPr>
          <w:rFonts w:cs="Calibri"/>
          <w:lang w:val="en-GB"/>
        </w:rPr>
        <w:t>s</w:t>
      </w:r>
      <w:r w:rsidRPr="006404EE">
        <w:rPr>
          <w:rFonts w:cs="Calibri"/>
          <w:lang w:val="en-GB"/>
        </w:rPr>
        <w:t>. Likewise for sustainability-linked bonds. </w:t>
      </w:r>
    </w:p>
    <w:p w14:paraId="1B825C0D" w14:textId="663E256D" w:rsidR="008C0D02" w:rsidRPr="006404EE" w:rsidRDefault="001D6EA8" w:rsidP="00F50DB9">
      <w:pPr>
        <w:rPr>
          <w:rFonts w:cs="Calibri"/>
          <w:lang w:val="en-GB"/>
        </w:rPr>
      </w:pPr>
      <w:r w:rsidRPr="006404EE">
        <w:rPr>
          <w:rFonts w:cs="Calibri"/>
          <w:lang w:val="en-GB"/>
        </w:rPr>
        <w:t>T</w:t>
      </w:r>
      <w:r w:rsidR="00127D94" w:rsidRPr="006404EE">
        <w:rPr>
          <w:rFonts w:cs="Calibri"/>
          <w:lang w:val="en-GB"/>
        </w:rPr>
        <w:t>he application of a new annex of the delegated prospectus regulation, such as oncoming annex 21, cannot be a criterion for determining that a new type of security is included in a base prospectus as, without affecting the legal nature of the security, certain annexes are only applicable in connection with certain features of the securities.</w:t>
      </w:r>
      <w:r w:rsidR="008C0D02" w:rsidRPr="006404EE">
        <w:rPr>
          <w:rFonts w:cs="Calibri"/>
          <w:lang w:val="en-GB"/>
        </w:rPr>
        <w:t xml:space="preserve"> </w:t>
      </w:r>
    </w:p>
    <w:p w14:paraId="7A4A8EB2" w14:textId="5DDBC600" w:rsidR="00F50DB9" w:rsidRPr="006404EE" w:rsidRDefault="00F50DB9" w:rsidP="00F50DB9">
      <w:pPr>
        <w:rPr>
          <w:rFonts w:cs="Calibri"/>
          <w:lang w:val="en-GB"/>
        </w:rPr>
      </w:pPr>
      <w:r w:rsidRPr="006404EE">
        <w:rPr>
          <w:rFonts w:cs="Calibri"/>
          <w:lang w:val="en-GB"/>
        </w:rPr>
        <w:t>Th</w:t>
      </w:r>
      <w:r w:rsidR="00A57528" w:rsidRPr="006404EE">
        <w:rPr>
          <w:rFonts w:cs="Calibri"/>
          <w:lang w:val="en-GB"/>
        </w:rPr>
        <w:t>e</w:t>
      </w:r>
      <w:r w:rsidRPr="006404EE">
        <w:rPr>
          <w:rFonts w:cs="Calibri"/>
          <w:lang w:val="en-GB"/>
        </w:rPr>
        <w:t xml:space="preserve"> flexibility </w:t>
      </w:r>
      <w:r w:rsidR="00A57528" w:rsidRPr="006404EE">
        <w:rPr>
          <w:rFonts w:cs="Calibri"/>
          <w:lang w:val="en-GB"/>
        </w:rPr>
        <w:t xml:space="preserve">to use a supplement </w:t>
      </w:r>
      <w:r w:rsidRPr="006404EE">
        <w:rPr>
          <w:rFonts w:cs="Calibri"/>
          <w:lang w:val="en-GB"/>
        </w:rPr>
        <w:t>is particularly important for green bonds and sustainability-linked notes, where in the current volatile context market opportunities might be lost if issuers were obliged to await a lengthy base prospectus update and a new issuance process. Supplements can, in fact</w:t>
      </w:r>
      <w:r w:rsidR="00F571D5" w:rsidRPr="006404EE">
        <w:rPr>
          <w:rFonts w:cs="Calibri"/>
          <w:lang w:val="en-GB"/>
        </w:rPr>
        <w:t xml:space="preserve"> anticipate the base prospectus for the following issuance program</w:t>
      </w:r>
      <w:r w:rsidR="006D3821" w:rsidRPr="006404EE">
        <w:rPr>
          <w:rFonts w:cs="Calibri"/>
          <w:lang w:val="en-GB"/>
        </w:rPr>
        <w:t>, namely</w:t>
      </w:r>
      <w:r w:rsidR="00F571D5" w:rsidRPr="006404EE">
        <w:rPr>
          <w:rFonts w:cs="Calibri"/>
          <w:lang w:val="en-GB"/>
        </w:rPr>
        <w:t xml:space="preserve"> </w:t>
      </w:r>
      <w:r w:rsidRPr="006404EE">
        <w:rPr>
          <w:rFonts w:cs="Calibri"/>
          <w:lang w:val="en-GB"/>
        </w:rPr>
        <w:t xml:space="preserve">for issuers who did not initially incorporate such </w:t>
      </w:r>
      <w:r w:rsidR="00A57528" w:rsidRPr="006404EE">
        <w:rPr>
          <w:rFonts w:cs="Calibri"/>
          <w:lang w:val="en-GB"/>
        </w:rPr>
        <w:t xml:space="preserve">features </w:t>
      </w:r>
      <w:r w:rsidRPr="006404EE">
        <w:rPr>
          <w:rFonts w:cs="Calibri"/>
          <w:lang w:val="en-GB"/>
        </w:rPr>
        <w:t>in their base prospectus but later</w:t>
      </w:r>
      <w:r w:rsidR="005A58ED" w:rsidRPr="006404EE">
        <w:rPr>
          <w:rFonts w:cs="Calibri"/>
          <w:lang w:val="en-GB"/>
        </w:rPr>
        <w:t xml:space="preserve"> want to</w:t>
      </w:r>
      <w:r w:rsidRPr="006404EE">
        <w:rPr>
          <w:rFonts w:cs="Calibri"/>
          <w:lang w:val="en-GB"/>
        </w:rPr>
        <w:t xml:space="preserve"> seize market opportunities before the annual review. In these instances, the regulator </w:t>
      </w:r>
      <w:r w:rsidR="005A58ED" w:rsidRPr="006404EE">
        <w:rPr>
          <w:rFonts w:cs="Calibri"/>
          <w:lang w:val="en-GB"/>
        </w:rPr>
        <w:t xml:space="preserve">has all opportunities to </w:t>
      </w:r>
      <w:r w:rsidRPr="006404EE">
        <w:rPr>
          <w:rFonts w:cs="Calibri"/>
          <w:lang w:val="en-GB"/>
        </w:rPr>
        <w:t xml:space="preserve">require the issuer </w:t>
      </w:r>
      <w:r w:rsidR="00433A7E" w:rsidRPr="006404EE">
        <w:rPr>
          <w:rFonts w:cs="Calibri"/>
          <w:lang w:val="en-GB"/>
        </w:rPr>
        <w:t xml:space="preserve">to include in the supplement </w:t>
      </w:r>
      <w:r w:rsidRPr="006404EE">
        <w:rPr>
          <w:rFonts w:cs="Calibri"/>
          <w:lang w:val="en-GB"/>
        </w:rPr>
        <w:t xml:space="preserve">a comprehensive framework that outlines the </w:t>
      </w:r>
      <w:r w:rsidR="00433A7E" w:rsidRPr="006404EE">
        <w:rPr>
          <w:rFonts w:cs="Calibri"/>
          <w:lang w:val="en-GB"/>
        </w:rPr>
        <w:t>features</w:t>
      </w:r>
      <w:r w:rsidRPr="006404EE">
        <w:rPr>
          <w:rFonts w:cs="Calibri"/>
          <w:lang w:val="en-GB"/>
        </w:rPr>
        <w:t xml:space="preserve"> envisaged, with</w:t>
      </w:r>
      <w:r w:rsidR="00433A7E" w:rsidRPr="006404EE">
        <w:rPr>
          <w:rFonts w:cs="Calibri"/>
          <w:lang w:val="en-GB"/>
        </w:rPr>
        <w:t xml:space="preserve"> no harm to the market</w:t>
      </w:r>
      <w:r w:rsidRPr="006404EE">
        <w:rPr>
          <w:rFonts w:cs="Calibri"/>
          <w:lang w:val="en-GB"/>
        </w:rPr>
        <w:t>.</w:t>
      </w:r>
    </w:p>
    <w:p w14:paraId="27BE9E33" w14:textId="01C3D611" w:rsidR="00B36EC1" w:rsidRPr="006404EE" w:rsidRDefault="00B36EC1" w:rsidP="00B36EC1">
      <w:pPr>
        <w:pStyle w:val="Titre3"/>
        <w:rPr>
          <w:rFonts w:ascii="Calibri" w:hAnsi="Calibri" w:cs="Calibri"/>
          <w:color w:val="auto"/>
          <w:lang w:val="en-US"/>
        </w:rPr>
      </w:pPr>
      <w:r w:rsidRPr="006404EE">
        <w:rPr>
          <w:rFonts w:ascii="Calibri" w:hAnsi="Calibri" w:cs="Calibri"/>
          <w:color w:val="auto"/>
          <w:lang w:val="en-US"/>
        </w:rPr>
        <w:t>Question 5 –</w:t>
      </w:r>
      <w:r w:rsidR="00EF411F" w:rsidRPr="006404EE">
        <w:rPr>
          <w:rFonts w:ascii="Calibri" w:eastAsiaTheme="minorHAnsi" w:hAnsi="Calibri" w:cs="Calibri"/>
          <w:i w:val="0"/>
          <w:iCs w:val="0"/>
          <w:noProof w:val="0"/>
          <w:color w:val="auto"/>
          <w:szCs w:val="20"/>
          <w:lang w:val="en-US"/>
        </w:rPr>
        <w:t xml:space="preserve"> </w:t>
      </w:r>
      <w:r w:rsidR="00EF411F" w:rsidRPr="006404EE">
        <w:rPr>
          <w:rFonts w:ascii="Calibri" w:hAnsi="Calibri" w:cs="Calibri"/>
          <w:color w:val="auto"/>
          <w:lang w:val="en-US"/>
        </w:rPr>
        <w:t>Is there another way to approach the subject of these Guidelines in your opinion? If yes, please explain what it is and provide arguments to support your suggested approach. Please also provide examples to illustrate the issue(s) you are solving and how your proposed approach facilitates that end.</w:t>
      </w:r>
    </w:p>
    <w:p w14:paraId="49BF26D9" w14:textId="248368E6" w:rsidR="00DC0A2A" w:rsidRPr="006404EE" w:rsidRDefault="00654237" w:rsidP="00EF411F">
      <w:pPr>
        <w:rPr>
          <w:rFonts w:cs="Calibri"/>
          <w:lang w:val="en-US"/>
        </w:rPr>
      </w:pPr>
      <w:r w:rsidRPr="006404EE">
        <w:rPr>
          <w:rFonts w:cs="Calibri"/>
          <w:lang w:val="en-US"/>
        </w:rPr>
        <w:t>We stress</w:t>
      </w:r>
      <w:r w:rsidR="00074262" w:rsidRPr="006404EE">
        <w:rPr>
          <w:rFonts w:cs="Calibri"/>
          <w:lang w:val="en-US"/>
        </w:rPr>
        <w:t xml:space="preserve"> that</w:t>
      </w:r>
      <w:r w:rsidR="00DC0A2A" w:rsidRPr="006404EE">
        <w:rPr>
          <w:rFonts w:cs="Calibri"/>
          <w:lang w:val="en-US"/>
        </w:rPr>
        <w:t>:</w:t>
      </w:r>
    </w:p>
    <w:p w14:paraId="7ECACAB0" w14:textId="5D18A921" w:rsidR="00493F99" w:rsidRPr="006404EE" w:rsidRDefault="00493F99" w:rsidP="00DC0A2A">
      <w:pPr>
        <w:pStyle w:val="puce2"/>
        <w:rPr>
          <w:rFonts w:cs="Calibri"/>
          <w:lang w:val="en-US"/>
        </w:rPr>
      </w:pPr>
      <w:r w:rsidRPr="006404EE">
        <w:rPr>
          <w:rFonts w:cs="Calibri"/>
          <w:lang w:val="en-US"/>
        </w:rPr>
        <w:t xml:space="preserve">European harmonization should take place in the sense of alignment with the more flexible approaches among </w:t>
      </w:r>
      <w:r w:rsidR="00654237" w:rsidRPr="006404EE">
        <w:rPr>
          <w:rFonts w:cs="Calibri"/>
          <w:lang w:val="en-US"/>
        </w:rPr>
        <w:t>NCA</w:t>
      </w:r>
      <w:r w:rsidR="00C36D3C" w:rsidRPr="006404EE">
        <w:rPr>
          <w:rFonts w:cs="Calibri"/>
          <w:lang w:val="en-US"/>
        </w:rPr>
        <w:t>s,</w:t>
      </w:r>
      <w:r w:rsidR="0057585B" w:rsidRPr="006404EE">
        <w:rPr>
          <w:rFonts w:cs="Calibri"/>
          <w:lang w:val="en-US"/>
        </w:rPr>
        <w:t xml:space="preserve"> in line with the Listing Act goals of burden reduction and access to capital,</w:t>
      </w:r>
      <w:r w:rsidR="00C36D3C" w:rsidRPr="006404EE">
        <w:rPr>
          <w:rFonts w:cs="Calibri"/>
          <w:lang w:val="en-US"/>
        </w:rPr>
        <w:t xml:space="preserve"> not with the s</w:t>
      </w:r>
      <w:r w:rsidR="00654237" w:rsidRPr="006404EE">
        <w:rPr>
          <w:rFonts w:cs="Calibri"/>
          <w:lang w:val="en-US"/>
        </w:rPr>
        <w:t>tricter approaches of other NCA</w:t>
      </w:r>
      <w:r w:rsidR="00C36D3C" w:rsidRPr="006404EE">
        <w:rPr>
          <w:rFonts w:cs="Calibri"/>
          <w:lang w:val="en-US"/>
        </w:rPr>
        <w:t>s;</w:t>
      </w:r>
    </w:p>
    <w:p w14:paraId="6F3C4A64" w14:textId="0AA85B70" w:rsidR="00C36D3C" w:rsidRPr="006404EE" w:rsidRDefault="00D83539" w:rsidP="00DC0A2A">
      <w:pPr>
        <w:pStyle w:val="puce2"/>
        <w:rPr>
          <w:rFonts w:cs="Calibri"/>
          <w:lang w:val="en-US"/>
        </w:rPr>
      </w:pPr>
      <w:r w:rsidRPr="006404EE">
        <w:rPr>
          <w:rFonts w:cs="Calibri"/>
          <w:lang w:val="en-US"/>
        </w:rPr>
        <w:t>The letter of art. 23</w:t>
      </w:r>
      <w:r w:rsidR="006D3821" w:rsidRPr="006404EE">
        <w:rPr>
          <w:rFonts w:cs="Calibri"/>
          <w:lang w:val="en-US"/>
        </w:rPr>
        <w:t>.4a</w:t>
      </w:r>
      <w:r w:rsidRPr="006404EE">
        <w:rPr>
          <w:rFonts w:cs="Calibri"/>
          <w:lang w:val="en-US"/>
        </w:rPr>
        <w:t xml:space="preserve"> of the PR as modified by the Regulation Listing Act should </w:t>
      </w:r>
      <w:r w:rsidR="008D75B9" w:rsidRPr="006404EE">
        <w:rPr>
          <w:rFonts w:cs="Calibri"/>
          <w:lang w:val="en-US"/>
        </w:rPr>
        <w:t xml:space="preserve">not </w:t>
      </w:r>
      <w:r w:rsidRPr="006404EE">
        <w:rPr>
          <w:rFonts w:cs="Calibri"/>
          <w:lang w:val="en-US"/>
        </w:rPr>
        <w:t xml:space="preserve">be </w:t>
      </w:r>
      <w:r w:rsidR="008D75B9" w:rsidRPr="006404EE">
        <w:rPr>
          <w:rFonts w:cs="Calibri"/>
          <w:lang w:val="en-US"/>
        </w:rPr>
        <w:t xml:space="preserve">expanded to prohibit </w:t>
      </w:r>
      <w:r w:rsidR="00C04CB8" w:rsidRPr="006404EE">
        <w:rPr>
          <w:rFonts w:cs="Calibri"/>
          <w:lang w:val="en-US"/>
        </w:rPr>
        <w:t>the use of supplements in situations where the PR clearly allows supplements to be used</w:t>
      </w:r>
      <w:r w:rsidR="00A0316E" w:rsidRPr="006404EE">
        <w:rPr>
          <w:rFonts w:cs="Calibri"/>
          <w:lang w:val="en-US"/>
        </w:rPr>
        <w:t>, and which have not raised any concerns from the market</w:t>
      </w:r>
      <w:r w:rsidRPr="006404EE">
        <w:rPr>
          <w:rFonts w:cs="Calibri"/>
          <w:lang w:val="en-US"/>
        </w:rPr>
        <w:t>;</w:t>
      </w:r>
    </w:p>
    <w:p w14:paraId="2B30BDA7" w14:textId="77777777" w:rsidR="00654237" w:rsidRPr="006404EE" w:rsidRDefault="004C1484" w:rsidP="00654237">
      <w:pPr>
        <w:pStyle w:val="puce2"/>
        <w:rPr>
          <w:rFonts w:cs="Calibri"/>
          <w:lang w:val="en-US"/>
        </w:rPr>
      </w:pPr>
      <w:r w:rsidRPr="006404EE">
        <w:rPr>
          <w:rFonts w:cs="Calibri"/>
          <w:lang w:val="en-US"/>
        </w:rPr>
        <w:t>Where additional information can be provided through a supplement</w:t>
      </w:r>
      <w:r w:rsidR="00C04CB8" w:rsidRPr="006404EE">
        <w:rPr>
          <w:rFonts w:cs="Calibri"/>
          <w:lang w:val="en-US"/>
        </w:rPr>
        <w:t xml:space="preserve"> without changing the type of securities</w:t>
      </w:r>
      <w:r w:rsidRPr="006404EE">
        <w:rPr>
          <w:rFonts w:cs="Calibri"/>
          <w:lang w:val="en-US"/>
        </w:rPr>
        <w:t>, no base</w:t>
      </w:r>
      <w:r w:rsidR="008C13FD" w:rsidRPr="006404EE">
        <w:rPr>
          <w:rFonts w:cs="Calibri"/>
          <w:lang w:val="en-US"/>
        </w:rPr>
        <w:t xml:space="preserve"> prospectus</w:t>
      </w:r>
      <w:r w:rsidRPr="006404EE">
        <w:rPr>
          <w:rFonts w:cs="Calibri"/>
          <w:lang w:val="en-US"/>
        </w:rPr>
        <w:t xml:space="preserve"> </w:t>
      </w:r>
      <w:r w:rsidR="00764A71" w:rsidRPr="006404EE">
        <w:rPr>
          <w:rFonts w:cs="Calibri"/>
          <w:lang w:val="en-US"/>
        </w:rPr>
        <w:t xml:space="preserve">or draw down </w:t>
      </w:r>
      <w:r w:rsidRPr="006404EE">
        <w:rPr>
          <w:rFonts w:cs="Calibri"/>
          <w:lang w:val="en-US"/>
        </w:rPr>
        <w:t>prospectus should be required</w:t>
      </w:r>
      <w:r w:rsidR="0074007A" w:rsidRPr="006404EE">
        <w:rPr>
          <w:rFonts w:cs="Calibri"/>
          <w:lang w:val="en-US"/>
        </w:rPr>
        <w:t>;</w:t>
      </w:r>
    </w:p>
    <w:p w14:paraId="5DB5B42D" w14:textId="36F447E0" w:rsidR="00FB5611" w:rsidRPr="006404EE" w:rsidRDefault="00FB5611" w:rsidP="00654237">
      <w:pPr>
        <w:pStyle w:val="puce2"/>
        <w:rPr>
          <w:rFonts w:cs="Calibri"/>
          <w:lang w:val="en-US"/>
        </w:rPr>
      </w:pPr>
      <w:r w:rsidRPr="006404EE">
        <w:rPr>
          <w:rFonts w:cs="Calibri"/>
          <w:lang w:val="en-US"/>
        </w:rPr>
        <w:t>Relevant factors for the requirements of a new base prospectus</w:t>
      </w:r>
      <w:r w:rsidR="00654237" w:rsidRPr="006404EE">
        <w:rPr>
          <w:rFonts w:cs="Calibri"/>
          <w:lang w:val="en-US"/>
        </w:rPr>
        <w:t xml:space="preserve"> or draw</w:t>
      </w:r>
      <w:r w:rsidR="001D1AF6" w:rsidRPr="006404EE">
        <w:rPr>
          <w:rFonts w:cs="Calibri"/>
          <w:lang w:val="en-US"/>
        </w:rPr>
        <w:t>down prospectus</w:t>
      </w:r>
      <w:r w:rsidRPr="006404EE">
        <w:rPr>
          <w:rFonts w:cs="Calibri"/>
          <w:lang w:val="en-US"/>
        </w:rPr>
        <w:t xml:space="preserve"> include</w:t>
      </w:r>
      <w:r w:rsidR="00AF2BA6" w:rsidRPr="006404EE">
        <w:rPr>
          <w:rFonts w:cs="Calibri"/>
          <w:lang w:val="en-US"/>
        </w:rPr>
        <w:t xml:space="preserve"> </w:t>
      </w:r>
      <w:r w:rsidR="008C13FD" w:rsidRPr="006404EE">
        <w:rPr>
          <w:rFonts w:cs="Calibri"/>
          <w:lang w:val="en-GB"/>
        </w:rPr>
        <w:t>e</w:t>
      </w:r>
      <w:r w:rsidRPr="006404EE">
        <w:rPr>
          <w:rFonts w:cs="Calibri"/>
          <w:lang w:val="en-GB"/>
        </w:rPr>
        <w:t xml:space="preserve">ntirely new </w:t>
      </w:r>
      <w:r w:rsidR="008D75B9" w:rsidRPr="006404EE">
        <w:rPr>
          <w:rFonts w:cs="Calibri"/>
          <w:lang w:val="en-GB"/>
        </w:rPr>
        <w:t xml:space="preserve">type of </w:t>
      </w:r>
      <w:r w:rsidR="00AA2C89" w:rsidRPr="006404EE">
        <w:rPr>
          <w:rFonts w:cs="Calibri"/>
          <w:lang w:val="en-GB"/>
        </w:rPr>
        <w:t xml:space="preserve">securities </w:t>
      </w:r>
      <w:r w:rsidRPr="006404EE">
        <w:rPr>
          <w:rFonts w:cs="Calibri"/>
          <w:lang w:val="en-GB"/>
        </w:rPr>
        <w:t>(e.g.</w:t>
      </w:r>
      <w:r w:rsidR="00AA2C89" w:rsidRPr="006404EE">
        <w:rPr>
          <w:rFonts w:cs="Calibri"/>
          <w:lang w:val="en-GB"/>
        </w:rPr>
        <w:t xml:space="preserve"> warrants versus bonds; </w:t>
      </w:r>
      <w:r w:rsidR="001F378F" w:rsidRPr="006404EE">
        <w:rPr>
          <w:rFonts w:cs="Calibri"/>
          <w:lang w:val="en-GB"/>
        </w:rPr>
        <w:t xml:space="preserve">equity type securities versus non equity type securities; </w:t>
      </w:r>
      <w:r w:rsidRPr="006404EE">
        <w:rPr>
          <w:rFonts w:cs="Calibri"/>
          <w:lang w:val="en-GB"/>
        </w:rPr>
        <w:t>);</w:t>
      </w:r>
    </w:p>
    <w:p w14:paraId="199808E3" w14:textId="2C5B8DC8" w:rsidR="0074007A" w:rsidRPr="006404EE" w:rsidRDefault="0074007A" w:rsidP="00DC0A2A">
      <w:pPr>
        <w:pStyle w:val="puce2"/>
        <w:rPr>
          <w:rFonts w:cs="Calibri"/>
          <w:lang w:val="en-US"/>
        </w:rPr>
      </w:pPr>
      <w:r w:rsidRPr="006404EE">
        <w:rPr>
          <w:rFonts w:cs="Calibri"/>
          <w:lang w:val="en-US"/>
        </w:rPr>
        <w:t>Irrelevant factors for</w:t>
      </w:r>
      <w:r w:rsidR="00FB5611" w:rsidRPr="006404EE">
        <w:rPr>
          <w:rFonts w:cs="Calibri"/>
          <w:lang w:val="en-US"/>
        </w:rPr>
        <w:t xml:space="preserve"> the requirement of a new base prospectus include:</w:t>
      </w:r>
    </w:p>
    <w:p w14:paraId="10C58953" w14:textId="482732DC" w:rsidR="00FB5611" w:rsidRPr="006404EE" w:rsidRDefault="00FB5611" w:rsidP="001F714C">
      <w:pPr>
        <w:pStyle w:val="puce2"/>
        <w:numPr>
          <w:ilvl w:val="1"/>
          <w:numId w:val="5"/>
        </w:numPr>
        <w:rPr>
          <w:rFonts w:cs="Calibri"/>
          <w:lang w:val="en-GB"/>
        </w:rPr>
      </w:pPr>
      <w:r w:rsidRPr="006404EE">
        <w:rPr>
          <w:rFonts w:cs="Calibri"/>
          <w:lang w:val="en-GB"/>
        </w:rPr>
        <w:t>use of proceeds (example of green bonds</w:t>
      </w:r>
      <w:r w:rsidR="008D75B9" w:rsidRPr="006404EE">
        <w:rPr>
          <w:rFonts w:cs="Calibri"/>
          <w:lang w:val="en-GB"/>
        </w:rPr>
        <w:t xml:space="preserve">, social bonds, </w:t>
      </w:r>
      <w:proofErr w:type="spellStart"/>
      <w:r w:rsidR="008D75B9" w:rsidRPr="006404EE">
        <w:rPr>
          <w:rFonts w:cs="Calibri"/>
          <w:lang w:val="en-GB"/>
        </w:rPr>
        <w:t>EuGB</w:t>
      </w:r>
      <w:proofErr w:type="spellEnd"/>
      <w:r w:rsidRPr="006404EE">
        <w:rPr>
          <w:rFonts w:cs="Calibri"/>
          <w:lang w:val="en-GB"/>
        </w:rPr>
        <w:t>);</w:t>
      </w:r>
    </w:p>
    <w:p w14:paraId="031D5638" w14:textId="47ADE6BD" w:rsidR="00FB5611" w:rsidRPr="006404EE" w:rsidRDefault="008D75B9" w:rsidP="001F714C">
      <w:pPr>
        <w:pStyle w:val="puce2"/>
        <w:numPr>
          <w:ilvl w:val="1"/>
          <w:numId w:val="5"/>
        </w:numPr>
        <w:rPr>
          <w:rFonts w:cs="Calibri"/>
          <w:lang w:val="en-GB"/>
        </w:rPr>
      </w:pPr>
      <w:r w:rsidRPr="006404EE">
        <w:rPr>
          <w:rFonts w:cs="Calibri"/>
          <w:lang w:val="en-GB"/>
        </w:rPr>
        <w:t xml:space="preserve">provisions </w:t>
      </w:r>
      <w:r w:rsidR="00A0316E" w:rsidRPr="006404EE">
        <w:rPr>
          <w:rFonts w:cs="Calibri"/>
          <w:lang w:val="en-GB"/>
        </w:rPr>
        <w:t xml:space="preserve">the general principle of which are </w:t>
      </w:r>
      <w:r w:rsidRPr="006404EE">
        <w:rPr>
          <w:rFonts w:cs="Calibri"/>
          <w:lang w:val="en-GB"/>
        </w:rPr>
        <w:t>already included (e.g. step-up, step-down, premium</w:t>
      </w:r>
      <w:r w:rsidR="00A0316E" w:rsidRPr="006404EE">
        <w:rPr>
          <w:rFonts w:cs="Calibri"/>
          <w:lang w:val="en-GB"/>
        </w:rPr>
        <w:t xml:space="preserve"> and early redemption</w:t>
      </w:r>
      <w:r w:rsidRPr="006404EE">
        <w:rPr>
          <w:rFonts w:cs="Calibri"/>
          <w:lang w:val="en-GB"/>
        </w:rPr>
        <w:t>)</w:t>
      </w:r>
      <w:r w:rsidR="001F378F" w:rsidRPr="006404EE">
        <w:rPr>
          <w:rFonts w:cs="Calibri"/>
          <w:lang w:val="en-GB"/>
        </w:rPr>
        <w:t>;</w:t>
      </w:r>
    </w:p>
    <w:p w14:paraId="0F4BFB06" w14:textId="221C4355" w:rsidR="008D75B9" w:rsidRPr="006404EE" w:rsidRDefault="008D75B9" w:rsidP="00FB5611">
      <w:pPr>
        <w:pStyle w:val="puce2"/>
        <w:numPr>
          <w:ilvl w:val="1"/>
          <w:numId w:val="5"/>
        </w:numPr>
        <w:rPr>
          <w:rFonts w:cs="Calibri"/>
          <w:lang w:val="en-US"/>
        </w:rPr>
      </w:pPr>
      <w:r w:rsidRPr="006404EE">
        <w:rPr>
          <w:rFonts w:cs="Calibri"/>
          <w:lang w:val="en-US"/>
        </w:rPr>
        <w:t>new risk factors</w:t>
      </w:r>
      <w:r w:rsidR="001F378F" w:rsidRPr="006404EE">
        <w:rPr>
          <w:rFonts w:cs="Calibri"/>
          <w:lang w:val="en-US"/>
        </w:rPr>
        <w:t>;</w:t>
      </w:r>
    </w:p>
    <w:p w14:paraId="03290C6D" w14:textId="77777777" w:rsidR="00717FD7" w:rsidRPr="006404EE" w:rsidRDefault="001F378F" w:rsidP="00FB5611">
      <w:pPr>
        <w:pStyle w:val="puce2"/>
        <w:numPr>
          <w:ilvl w:val="1"/>
          <w:numId w:val="5"/>
        </w:numPr>
        <w:rPr>
          <w:rFonts w:cs="Calibri"/>
          <w:lang w:val="en-US"/>
        </w:rPr>
      </w:pPr>
      <w:r w:rsidRPr="006404EE">
        <w:rPr>
          <w:rFonts w:cs="Calibri"/>
          <w:lang w:val="en-US"/>
        </w:rPr>
        <w:t>new pay-off</w:t>
      </w:r>
      <w:r w:rsidR="00717FD7" w:rsidRPr="006404EE">
        <w:rPr>
          <w:rFonts w:cs="Calibri"/>
          <w:lang w:val="en-US"/>
        </w:rPr>
        <w:t>;</w:t>
      </w:r>
    </w:p>
    <w:p w14:paraId="1842002F" w14:textId="3CFA4493" w:rsidR="001F378F" w:rsidRPr="006404EE" w:rsidRDefault="00DF33A1" w:rsidP="00FB5611">
      <w:pPr>
        <w:pStyle w:val="puce2"/>
        <w:numPr>
          <w:ilvl w:val="1"/>
          <w:numId w:val="5"/>
        </w:numPr>
        <w:rPr>
          <w:rFonts w:cs="Calibri"/>
          <w:lang w:val="en-US"/>
        </w:rPr>
      </w:pPr>
      <w:r w:rsidRPr="006404EE">
        <w:rPr>
          <w:rFonts w:cs="Calibri"/>
          <w:lang w:val="en-US"/>
        </w:rPr>
        <w:t>use of another Annex to the PR (such as oncoming Annex 21)</w:t>
      </w:r>
    </w:p>
    <w:p w14:paraId="1F0C56BF" w14:textId="77777777" w:rsidR="008C6A00" w:rsidRPr="006404EE" w:rsidRDefault="008C6A00" w:rsidP="00FB5611">
      <w:pPr>
        <w:pStyle w:val="puce2"/>
        <w:numPr>
          <w:ilvl w:val="0"/>
          <w:numId w:val="0"/>
        </w:numPr>
        <w:ind w:left="1582"/>
        <w:rPr>
          <w:rFonts w:cs="Calibri"/>
          <w:lang w:val="en-US"/>
        </w:rPr>
      </w:pPr>
    </w:p>
    <w:p w14:paraId="0ECBB0C8" w14:textId="75A6E16D" w:rsidR="00B36EC1" w:rsidRPr="006404EE" w:rsidRDefault="00B36EC1" w:rsidP="00B36EC1">
      <w:pPr>
        <w:pStyle w:val="Titre3"/>
        <w:rPr>
          <w:rFonts w:ascii="Calibri" w:hAnsi="Calibri" w:cs="Calibri"/>
          <w:color w:val="auto"/>
          <w:lang w:val="en-US"/>
        </w:rPr>
      </w:pPr>
      <w:r w:rsidRPr="006404EE">
        <w:rPr>
          <w:rFonts w:ascii="Calibri" w:hAnsi="Calibri" w:cs="Calibri"/>
          <w:color w:val="auto"/>
          <w:lang w:val="en-US"/>
        </w:rPr>
        <w:t xml:space="preserve">Question 6 – </w:t>
      </w:r>
      <w:r w:rsidR="00EF411F" w:rsidRPr="006404EE">
        <w:rPr>
          <w:rFonts w:ascii="Calibri" w:hAnsi="Calibri" w:cs="Calibri"/>
          <w:color w:val="auto"/>
          <w:lang w:val="en-US"/>
        </w:rPr>
        <w:t>Can you provide an estimation of the costs/benefits of these proposed Guidelines?</w:t>
      </w:r>
    </w:p>
    <w:p w14:paraId="14F45F59" w14:textId="7C4701E0" w:rsidR="00A0316E" w:rsidRPr="006404EE" w:rsidRDefault="00A0316E" w:rsidP="00A0316E">
      <w:pPr>
        <w:rPr>
          <w:rFonts w:cs="Calibri"/>
          <w:lang w:val="en-GB"/>
        </w:rPr>
      </w:pPr>
      <w:r w:rsidRPr="006404EE">
        <w:rPr>
          <w:rFonts w:cs="Calibri"/>
          <w:lang w:val="en-US"/>
        </w:rPr>
        <w:t xml:space="preserve">The establishment and publication of a base prospectus is </w:t>
      </w:r>
      <w:sdt>
        <w:sdtPr>
          <w:rPr>
            <w:rFonts w:cs="Calibri"/>
          </w:rPr>
          <w:tag w:val="goog_rdk_19"/>
          <w:id w:val="-531880016"/>
        </w:sdtPr>
        <w:sdtEndPr/>
        <w:sdtContent>
          <w:r w:rsidRPr="006404EE">
            <w:rPr>
              <w:rFonts w:cs="Calibri"/>
              <w:lang w:val="en-GB"/>
            </w:rPr>
            <w:t>approximately</w:t>
          </w:r>
        </w:sdtContent>
      </w:sdt>
      <w:r w:rsidRPr="006404EE">
        <w:rPr>
          <w:rFonts w:cs="Calibri"/>
          <w:lang w:val="en-US"/>
        </w:rPr>
        <w:t xml:space="preserve"> ten times more expensive and six times longer than the establishment and publication of a supplement. </w:t>
      </w:r>
      <w:r w:rsidR="00366A88" w:rsidRPr="006404EE">
        <w:rPr>
          <w:rFonts w:cs="Calibri"/>
          <w:lang w:val="en-US"/>
        </w:rPr>
        <w:t xml:space="preserve">A drawdown prospectus is also much more expensive and takes much more time than a supplement. </w:t>
      </w:r>
      <w:r w:rsidRPr="006404EE">
        <w:rPr>
          <w:rFonts w:cs="Calibri"/>
          <w:lang w:val="en-GB"/>
        </w:rPr>
        <w:t>This could lead</w:t>
      </w:r>
      <w:r w:rsidRPr="006404EE">
        <w:rPr>
          <w:rFonts w:cs="Calibri"/>
          <w:lang w:val="en-US"/>
        </w:rPr>
        <w:t xml:space="preserve"> to </w:t>
      </w:r>
      <w:r w:rsidRPr="006404EE">
        <w:rPr>
          <w:rFonts w:cs="Calibri"/>
          <w:lang w:val="en-GB"/>
        </w:rPr>
        <w:t xml:space="preserve">missed time-sensitive </w:t>
      </w:r>
      <w:r w:rsidRPr="006404EE">
        <w:rPr>
          <w:rFonts w:cs="Calibri"/>
          <w:lang w:val="en-US"/>
        </w:rPr>
        <w:t>market</w:t>
      </w:r>
      <w:r w:rsidRPr="006404EE">
        <w:rPr>
          <w:rFonts w:cs="Calibri"/>
          <w:lang w:val="en-GB"/>
        </w:rPr>
        <w:t xml:space="preserve"> windows and unintended - yet substantial - losses for issuers, ultimately damaging the European market's efficiency, fluidity and competitiveness. </w:t>
      </w:r>
    </w:p>
    <w:p w14:paraId="06D2CF4E" w14:textId="6F3E7CD4" w:rsidR="00EF411F" w:rsidRPr="006404EE" w:rsidRDefault="00DD35F2" w:rsidP="00EF411F">
      <w:pPr>
        <w:rPr>
          <w:rFonts w:cs="Calibri"/>
          <w:lang w:val="en-GB"/>
        </w:rPr>
      </w:pPr>
      <w:r w:rsidRPr="006404EE">
        <w:rPr>
          <w:rFonts w:cs="Calibri"/>
          <w:lang w:val="en-GB"/>
        </w:rPr>
        <w:t>Furthermore, ESMA may wish to assess NCAs' workload against their staffing levels. Mandating regular updates of base prospectuses, rather than supplements, may create bottlenecks for some NCAs during specific timeframes or the temptation for issuers to arbitrate between NCAs on the basis of staffing levels, which is not virtuous</w:t>
      </w:r>
      <w:r w:rsidR="006404EE" w:rsidRPr="006404EE">
        <w:rPr>
          <w:rFonts w:cs="Calibri"/>
          <w:lang w:val="en-GB"/>
        </w:rPr>
        <w:t>.</w:t>
      </w:r>
    </w:p>
    <w:p w14:paraId="3F79CEB3" w14:textId="00FA0EDE" w:rsidR="001C69A0" w:rsidRPr="006404EE" w:rsidRDefault="001C69A0" w:rsidP="00B36EC1">
      <w:pPr>
        <w:rPr>
          <w:lang w:val="en-US"/>
        </w:rPr>
      </w:pPr>
    </w:p>
    <w:sectPr w:rsidR="001C69A0" w:rsidRPr="006404EE" w:rsidSect="004F435D">
      <w:footerReference w:type="default" r:id="rId14"/>
      <w:headerReference w:type="first" r:id="rId15"/>
      <w:footerReference w:type="first" r:id="rId16"/>
      <w:pgSz w:w="11906" w:h="16838" w:code="9"/>
      <w:pgMar w:top="2977" w:right="1418" w:bottom="1134" w:left="1418" w:header="79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3C6F" w14:textId="77777777" w:rsidR="00C07772" w:rsidRDefault="00C07772" w:rsidP="00D05A9E">
      <w:r>
        <w:separator/>
      </w:r>
    </w:p>
    <w:p w14:paraId="3DD94923" w14:textId="77777777" w:rsidR="00C07772" w:rsidRDefault="00C07772"/>
  </w:endnote>
  <w:endnote w:type="continuationSeparator" w:id="0">
    <w:p w14:paraId="129E986F" w14:textId="77777777" w:rsidR="00C07772" w:rsidRDefault="00C07772" w:rsidP="00D05A9E">
      <w:r>
        <w:continuationSeparator/>
      </w:r>
    </w:p>
    <w:p w14:paraId="694A870E" w14:textId="77777777" w:rsidR="00C07772" w:rsidRDefault="00C07772"/>
  </w:endnote>
  <w:endnote w:type="continuationNotice" w:id="1">
    <w:p w14:paraId="144001AD" w14:textId="77777777" w:rsidR="00C07772" w:rsidRDefault="00C077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6CA9" w14:textId="375E8432" w:rsidR="00385839" w:rsidRPr="00672E25" w:rsidRDefault="00385839" w:rsidP="004E373F">
    <w:pPr>
      <w:pStyle w:val="Pieddepage"/>
      <w:tabs>
        <w:tab w:val="left" w:pos="8789"/>
        <w:tab w:val="left" w:pos="12191"/>
      </w:tabs>
      <w:jc w:val="center"/>
      <w:rPr>
        <w:color w:val="auto"/>
        <w:sz w:val="22"/>
        <w:szCs w:val="22"/>
      </w:rPr>
    </w:pPr>
    <w:r w:rsidRPr="00672E25">
      <w:rPr>
        <w:color w:val="auto"/>
        <w:sz w:val="22"/>
        <w:szCs w:val="22"/>
      </w:rPr>
      <w:fldChar w:fldCharType="begin"/>
    </w:r>
    <w:r w:rsidRPr="00672E25">
      <w:rPr>
        <w:color w:val="auto"/>
        <w:sz w:val="22"/>
        <w:szCs w:val="22"/>
      </w:rPr>
      <w:instrText>PAGE   \* MERGEFORMAT</w:instrText>
    </w:r>
    <w:r w:rsidRPr="00672E25">
      <w:rPr>
        <w:color w:val="auto"/>
        <w:sz w:val="22"/>
        <w:szCs w:val="22"/>
      </w:rPr>
      <w:fldChar w:fldCharType="separate"/>
    </w:r>
    <w:r w:rsidR="006404EE">
      <w:rPr>
        <w:noProof/>
        <w:color w:val="auto"/>
        <w:sz w:val="22"/>
        <w:szCs w:val="22"/>
      </w:rPr>
      <w:t>2</w:t>
    </w:r>
    <w:r w:rsidRPr="00672E25">
      <w:rPr>
        <w:color w:val="auto"/>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66FE" w14:textId="4C8C487F" w:rsidR="00E95127" w:rsidRPr="004E373F" w:rsidRDefault="00E95127" w:rsidP="004E373F">
    <w:pPr>
      <w:pStyle w:val="Pieddepage"/>
      <w:tabs>
        <w:tab w:val="left" w:pos="8931"/>
      </w:tabs>
      <w:jc w:val="center"/>
      <w:rPr>
        <w:color w:val="auto"/>
      </w:rPr>
    </w:pPr>
    <w:r w:rsidRPr="004E373F">
      <w:rPr>
        <w:color w:val="auto"/>
        <w:sz w:val="20"/>
        <w:szCs w:val="20"/>
      </w:rPr>
      <w:fldChar w:fldCharType="begin"/>
    </w:r>
    <w:r w:rsidRPr="004E373F">
      <w:rPr>
        <w:color w:val="auto"/>
        <w:sz w:val="20"/>
        <w:szCs w:val="20"/>
      </w:rPr>
      <w:instrText>PAGE   \* MERGEFORMAT</w:instrText>
    </w:r>
    <w:r w:rsidRPr="004E373F">
      <w:rPr>
        <w:color w:val="auto"/>
        <w:sz w:val="20"/>
        <w:szCs w:val="20"/>
      </w:rPr>
      <w:fldChar w:fldCharType="separate"/>
    </w:r>
    <w:r w:rsidR="00C07772" w:rsidRPr="00C07772">
      <w:rPr>
        <w:noProof/>
        <w:color w:val="auto"/>
        <w:sz w:val="20"/>
      </w:rPr>
      <w:t>1</w:t>
    </w:r>
    <w:r w:rsidRPr="004E373F">
      <w:rPr>
        <w:color w:val="aut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C408" w14:textId="77777777" w:rsidR="00C07772" w:rsidRDefault="00C07772" w:rsidP="00034772">
      <w:pPr>
        <w:spacing w:after="0"/>
      </w:pPr>
      <w:r>
        <w:separator/>
      </w:r>
    </w:p>
  </w:footnote>
  <w:footnote w:type="continuationSeparator" w:id="0">
    <w:p w14:paraId="103072C2" w14:textId="77777777" w:rsidR="00C07772" w:rsidRDefault="00C07772" w:rsidP="00D05A9E">
      <w:r>
        <w:continuationSeparator/>
      </w:r>
    </w:p>
  </w:footnote>
  <w:footnote w:type="continuationNotice" w:id="1">
    <w:p w14:paraId="38059053" w14:textId="77777777" w:rsidR="00C07772" w:rsidRPr="00C46FFC" w:rsidRDefault="00C07772" w:rsidP="00034772">
      <w:pPr>
        <w:pStyle w:val="Pieddepage"/>
        <w:rPr>
          <w:rFonts w:cs="Calibri"/>
          <w:sz w:val="18"/>
          <w:szCs w:val="18"/>
        </w:rPr>
      </w:pPr>
    </w:p>
    <w:p w14:paraId="487EA42E" w14:textId="77777777" w:rsidR="00C07772" w:rsidRPr="00C46FFC" w:rsidRDefault="00C07772">
      <w:pPr>
        <w:rPr>
          <w:rFonts w:cs="Calibri"/>
          <w:sz w:val="18"/>
          <w:szCs w:val="18"/>
        </w:rPr>
      </w:pPr>
    </w:p>
  </w:footnote>
  <w:footnote w:id="2">
    <w:sdt>
      <w:sdtPr>
        <w:tag w:val="goog_rdk_26"/>
        <w:id w:val="1533142572"/>
      </w:sdtPr>
      <w:sdtEndPr/>
      <w:sdtContent>
        <w:p w14:paraId="228F96EA" w14:textId="1F3AB43A" w:rsidR="00762E5A" w:rsidRPr="006E605E" w:rsidRDefault="00762E5A" w:rsidP="00762E5A">
          <w:pPr>
            <w:spacing w:after="0" w:line="240" w:lineRule="auto"/>
            <w:rPr>
              <w:rFonts w:cs="Calibri"/>
              <w:color w:val="000000"/>
              <w:sz w:val="16"/>
              <w:szCs w:val="16"/>
              <w:lang w:val="en-GB"/>
            </w:rPr>
          </w:pPr>
          <w:r>
            <w:rPr>
              <w:vertAlign w:val="superscript"/>
            </w:rPr>
            <w:footnoteRef/>
          </w:r>
          <w:sdt>
            <w:sdtPr>
              <w:tag w:val="goog_rdk_25"/>
              <w:id w:val="264499852"/>
            </w:sdtPr>
            <w:sdtEndPr/>
            <w:sdtContent>
              <w:r w:rsidRPr="006E605E">
                <w:rPr>
                  <w:rFonts w:cs="Calibri"/>
                  <w:color w:val="000000"/>
                  <w:sz w:val="16"/>
                  <w:szCs w:val="16"/>
                  <w:lang w:val="en-GB"/>
                </w:rPr>
                <w:t xml:space="preserve"> </w:t>
              </w:r>
              <w:r w:rsidR="002A07B1" w:rsidRPr="006E605E">
                <w:rPr>
                  <w:rFonts w:cs="Calibri"/>
                  <w:color w:val="000000"/>
                  <w:sz w:val="16"/>
                  <w:szCs w:val="16"/>
                  <w:lang w:val="en-GB"/>
                </w:rPr>
                <w:t>Seven</w:t>
              </w:r>
              <w:r w:rsidRPr="006E605E">
                <w:rPr>
                  <w:rFonts w:cs="Calibri"/>
                  <w:color w:val="000000"/>
                  <w:sz w:val="16"/>
                  <w:szCs w:val="16"/>
                  <w:lang w:val="en-GB"/>
                </w:rPr>
                <w:t xml:space="preserve"> to </w:t>
              </w:r>
              <w:r w:rsidR="002A07B1" w:rsidRPr="006E605E">
                <w:rPr>
                  <w:rFonts w:cs="Calibri"/>
                  <w:color w:val="000000"/>
                  <w:sz w:val="16"/>
                  <w:szCs w:val="16"/>
                  <w:lang w:val="en-GB"/>
                </w:rPr>
                <w:t>nine</w:t>
              </w:r>
              <w:r w:rsidRPr="006E605E">
                <w:rPr>
                  <w:rFonts w:cs="Calibri"/>
                  <w:color w:val="000000"/>
                  <w:sz w:val="16"/>
                  <w:szCs w:val="16"/>
                  <w:lang w:val="en-GB"/>
                </w:rPr>
                <w:t xml:space="preserve"> weeks </w:t>
              </w:r>
              <w:r w:rsidR="004E373F">
                <w:rPr>
                  <w:rFonts w:cs="Calibri"/>
                  <w:color w:val="000000"/>
                  <w:sz w:val="16"/>
                  <w:szCs w:val="16"/>
                  <w:lang w:val="en-GB"/>
                </w:rPr>
                <w:t>on</w:t>
              </w:r>
              <w:r w:rsidRPr="006E605E">
                <w:rPr>
                  <w:rFonts w:cs="Calibri"/>
                  <w:color w:val="000000"/>
                  <w:sz w:val="16"/>
                  <w:szCs w:val="16"/>
                  <w:lang w:val="en-GB"/>
                </w:rPr>
                <w:t xml:space="preserve"> average for a base prospectus v</w:t>
              </w:r>
              <w:r w:rsidR="002A07B1" w:rsidRPr="006E605E">
                <w:rPr>
                  <w:rFonts w:cs="Calibri"/>
                  <w:color w:val="000000"/>
                  <w:sz w:val="16"/>
                  <w:szCs w:val="16"/>
                  <w:lang w:val="en-GB"/>
                </w:rPr>
                <w:t xml:space="preserve">ersus three </w:t>
              </w:r>
              <w:r w:rsidRPr="006E605E">
                <w:rPr>
                  <w:rFonts w:cs="Calibri"/>
                  <w:color w:val="000000"/>
                  <w:sz w:val="16"/>
                  <w:szCs w:val="16"/>
                  <w:lang w:val="en-GB"/>
                </w:rPr>
                <w:t xml:space="preserve">to </w:t>
              </w:r>
              <w:r w:rsidR="002A07B1" w:rsidRPr="006E605E">
                <w:rPr>
                  <w:rFonts w:cs="Calibri"/>
                  <w:color w:val="000000"/>
                  <w:sz w:val="16"/>
                  <w:szCs w:val="16"/>
                  <w:lang w:val="en-GB"/>
                </w:rPr>
                <w:t>seven</w:t>
              </w:r>
              <w:r w:rsidRPr="006E605E">
                <w:rPr>
                  <w:rFonts w:cs="Calibri"/>
                  <w:color w:val="000000"/>
                  <w:sz w:val="16"/>
                  <w:szCs w:val="16"/>
                  <w:lang w:val="en-GB"/>
                </w:rPr>
                <w:t xml:space="preserve"> working days for a supplement</w:t>
              </w:r>
            </w:sdtContent>
          </w:sdt>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A965" w14:textId="77777777" w:rsidR="00BC062F" w:rsidRDefault="00BC062F" w:rsidP="004E373F">
    <w:pPr>
      <w:pStyle w:val="Rfrenceno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5pt;height:39.75pt;visibility:visible;mso-wrap-style:square" o:bullet="t">
        <v:imagedata r:id="rId1" o:title=""/>
      </v:shape>
    </w:pict>
  </w:numPicBullet>
  <w:numPicBullet w:numPicBulletId="1">
    <w:pict>
      <v:shape id="_x0000_i1027" type="#_x0000_t75" style="width:32.25pt;height:39.75pt;visibility:visible;mso-wrap-style:square" o:bullet="t">
        <v:imagedata r:id="rId2" o:title=""/>
      </v:shape>
    </w:pict>
  </w:numPicBullet>
  <w:abstractNum w:abstractNumId="0" w15:restartNumberingAfterBreak="0">
    <w:nsid w:val="02687811"/>
    <w:multiLevelType w:val="hybridMultilevel"/>
    <w:tmpl w:val="A5E27730"/>
    <w:lvl w:ilvl="0" w:tplc="EDA80DFE">
      <w:start w:val="1"/>
      <w:numFmt w:val="bullet"/>
      <w:pStyle w:val="puce2"/>
      <w:lvlText w:val=""/>
      <w:lvlJc w:val="left"/>
      <w:pPr>
        <w:ind w:left="862" w:hanging="360"/>
      </w:pPr>
      <w:rPr>
        <w:rFonts w:ascii="Wingdings" w:hAnsi="Wingdings" w:hint="default"/>
        <w:color w:val="026EA6"/>
        <w:sz w:val="28"/>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0F4C8069"/>
    <w:multiLevelType w:val="hybridMultilevel"/>
    <w:tmpl w:val="FFFFFFFF"/>
    <w:lvl w:ilvl="0" w:tplc="778CA444">
      <w:start w:val="1"/>
      <w:numFmt w:val="bullet"/>
      <w:lvlText w:val=""/>
      <w:lvlJc w:val="left"/>
      <w:pPr>
        <w:ind w:left="720" w:hanging="360"/>
      </w:pPr>
      <w:rPr>
        <w:rFonts w:ascii="Symbol" w:hAnsi="Symbol" w:hint="default"/>
      </w:rPr>
    </w:lvl>
    <w:lvl w:ilvl="1" w:tplc="545C9E5E">
      <w:start w:val="1"/>
      <w:numFmt w:val="bullet"/>
      <w:lvlText w:val="o"/>
      <w:lvlJc w:val="left"/>
      <w:pPr>
        <w:ind w:left="1440" w:hanging="360"/>
      </w:pPr>
      <w:rPr>
        <w:rFonts w:ascii="Courier New" w:hAnsi="Courier New" w:hint="default"/>
      </w:rPr>
    </w:lvl>
    <w:lvl w:ilvl="2" w:tplc="29224062">
      <w:start w:val="1"/>
      <w:numFmt w:val="bullet"/>
      <w:lvlText w:val=""/>
      <w:lvlJc w:val="left"/>
      <w:pPr>
        <w:ind w:left="2160" w:hanging="360"/>
      </w:pPr>
      <w:rPr>
        <w:rFonts w:ascii="Wingdings" w:hAnsi="Wingdings" w:hint="default"/>
      </w:rPr>
    </w:lvl>
    <w:lvl w:ilvl="3" w:tplc="83C49D6C">
      <w:start w:val="1"/>
      <w:numFmt w:val="bullet"/>
      <w:lvlText w:val=""/>
      <w:lvlJc w:val="left"/>
      <w:pPr>
        <w:ind w:left="2880" w:hanging="360"/>
      </w:pPr>
      <w:rPr>
        <w:rFonts w:ascii="Symbol" w:hAnsi="Symbol" w:hint="default"/>
      </w:rPr>
    </w:lvl>
    <w:lvl w:ilvl="4" w:tplc="CB20144A">
      <w:start w:val="1"/>
      <w:numFmt w:val="bullet"/>
      <w:lvlText w:val="o"/>
      <w:lvlJc w:val="left"/>
      <w:pPr>
        <w:ind w:left="3600" w:hanging="360"/>
      </w:pPr>
      <w:rPr>
        <w:rFonts w:ascii="Courier New" w:hAnsi="Courier New" w:hint="default"/>
      </w:rPr>
    </w:lvl>
    <w:lvl w:ilvl="5" w:tplc="DAC0B0D6">
      <w:start w:val="1"/>
      <w:numFmt w:val="bullet"/>
      <w:lvlText w:val=""/>
      <w:lvlJc w:val="left"/>
      <w:pPr>
        <w:ind w:left="4320" w:hanging="360"/>
      </w:pPr>
      <w:rPr>
        <w:rFonts w:ascii="Wingdings" w:hAnsi="Wingdings" w:hint="default"/>
      </w:rPr>
    </w:lvl>
    <w:lvl w:ilvl="6" w:tplc="A694F1E4">
      <w:start w:val="1"/>
      <w:numFmt w:val="bullet"/>
      <w:lvlText w:val=""/>
      <w:lvlJc w:val="left"/>
      <w:pPr>
        <w:ind w:left="5040" w:hanging="360"/>
      </w:pPr>
      <w:rPr>
        <w:rFonts w:ascii="Symbol" w:hAnsi="Symbol" w:hint="default"/>
      </w:rPr>
    </w:lvl>
    <w:lvl w:ilvl="7" w:tplc="474CAD44">
      <w:start w:val="1"/>
      <w:numFmt w:val="bullet"/>
      <w:lvlText w:val="o"/>
      <w:lvlJc w:val="left"/>
      <w:pPr>
        <w:ind w:left="5760" w:hanging="360"/>
      </w:pPr>
      <w:rPr>
        <w:rFonts w:ascii="Courier New" w:hAnsi="Courier New" w:hint="default"/>
      </w:rPr>
    </w:lvl>
    <w:lvl w:ilvl="8" w:tplc="A51A80D0">
      <w:start w:val="1"/>
      <w:numFmt w:val="bullet"/>
      <w:lvlText w:val=""/>
      <w:lvlJc w:val="left"/>
      <w:pPr>
        <w:ind w:left="6480" w:hanging="360"/>
      </w:pPr>
      <w:rPr>
        <w:rFonts w:ascii="Wingdings" w:hAnsi="Wingdings" w:hint="default"/>
      </w:rPr>
    </w:lvl>
  </w:abstractNum>
  <w:abstractNum w:abstractNumId="2" w15:restartNumberingAfterBreak="0">
    <w:nsid w:val="103E4D4F"/>
    <w:multiLevelType w:val="hybridMultilevel"/>
    <w:tmpl w:val="3762FC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51049B"/>
    <w:multiLevelType w:val="multilevel"/>
    <w:tmpl w:val="F8068A54"/>
    <w:lvl w:ilvl="0">
      <w:start w:val="1"/>
      <w:numFmt w:val="decimal"/>
      <w:pStyle w:val="1titre"/>
      <w:lvlText w:val="%1."/>
      <w:lvlJc w:val="left"/>
      <w:pPr>
        <w:ind w:left="720" w:hanging="360"/>
      </w:pPr>
      <w:rPr>
        <w:rFonts w:hint="default"/>
      </w:rPr>
    </w:lvl>
    <w:lvl w:ilvl="1">
      <w:start w:val="1"/>
      <w:numFmt w:val="decimal"/>
      <w:lvlText w:val="2.%2"/>
      <w:lvlJc w:val="left"/>
      <w:pPr>
        <w:ind w:left="1080" w:hanging="360"/>
      </w:pPr>
      <w:rPr>
        <w:rFonts w:hint="default"/>
        <w:b/>
        <w:i w:val="0"/>
        <w:spacing w:val="0"/>
        <w:w w:val="100"/>
        <w:kern w:val="2"/>
        <w:position w:val="0"/>
        <w14:numSpacing w14:val="default"/>
      </w:rPr>
    </w:lvl>
    <w:lvl w:ilvl="2">
      <w:start w:val="1"/>
      <w:numFmt w:val="decimal"/>
      <w:pStyle w:val="111Section"/>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2D6654EE"/>
    <w:multiLevelType w:val="hybridMultilevel"/>
    <w:tmpl w:val="31A057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4FB5204"/>
    <w:multiLevelType w:val="hybridMultilevel"/>
    <w:tmpl w:val="5C06C7E8"/>
    <w:lvl w:ilvl="0" w:tplc="81FE95F2">
      <w:start w:val="1"/>
      <w:numFmt w:val="bullet"/>
      <w:pStyle w:val="pucebleu"/>
      <w:lvlText w:val=""/>
      <w:lvlPicBulletId w:val="0"/>
      <w:lvlJc w:val="left"/>
      <w:pPr>
        <w:ind w:left="720" w:hanging="360"/>
      </w:pPr>
      <w:rPr>
        <w:rFonts w:ascii="Symbol" w:hAnsi="Symbol"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F22851"/>
    <w:multiLevelType w:val="hybridMultilevel"/>
    <w:tmpl w:val="DC820510"/>
    <w:lvl w:ilvl="0" w:tplc="3F74B040">
      <w:start w:val="1"/>
      <w:numFmt w:val="decimal"/>
      <w:pStyle w:val="11Chapitre"/>
      <w:lvlText w:val="1.%1"/>
      <w:lvlJc w:val="left"/>
      <w:pPr>
        <w:ind w:left="1440" w:hanging="360"/>
      </w:pPr>
      <w:rPr>
        <w:rFonts w:hint="default"/>
        <w:b/>
        <w:i w:val="0"/>
        <w:spacing w:val="0"/>
        <w:w w:val="100"/>
        <w:kern w:val="2"/>
        <w:position w:val="0"/>
        <w14:numSpacing w14:val="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3948429F"/>
    <w:multiLevelType w:val="hybridMultilevel"/>
    <w:tmpl w:val="7B18DD9A"/>
    <w:lvl w:ilvl="0" w:tplc="019404C0">
      <w:numFmt w:val="bullet"/>
      <w:pStyle w:val="Puce1"/>
      <w:lvlText w:val="-"/>
      <w:lvlJc w:val="left"/>
      <w:pPr>
        <w:ind w:left="720" w:hanging="360"/>
      </w:pPr>
      <w:rPr>
        <w:rFonts w:ascii="Calibri" w:hAnsi="Calibri" w:hint="default"/>
        <w:color w:val="44546A"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533B91"/>
    <w:multiLevelType w:val="hybridMultilevel"/>
    <w:tmpl w:val="71540156"/>
    <w:lvl w:ilvl="0" w:tplc="9814B1EE">
      <w:start w:val="1"/>
      <w:numFmt w:val="bullet"/>
      <w:pStyle w:val="Pucecarr"/>
      <w:lvlText w:val=""/>
      <w:lvlJc w:val="left"/>
      <w:pPr>
        <w:ind w:left="1571" w:hanging="360"/>
      </w:pPr>
      <w:rPr>
        <w:rFonts w:ascii="Wingdings" w:hAnsi="Wingdings" w:hint="default"/>
        <w:b/>
        <w:i w:val="0"/>
        <w:color w:val="003366"/>
        <w:sz w:val="2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 w15:restartNumberingAfterBreak="0">
    <w:nsid w:val="3C141090"/>
    <w:multiLevelType w:val="multilevel"/>
    <w:tmpl w:val="4DCAAE52"/>
    <w:lvl w:ilvl="0">
      <w:start w:val="1"/>
      <w:numFmt w:val="decimal"/>
      <w:lvlText w:val="%1)"/>
      <w:lvlJc w:val="left"/>
      <w:pPr>
        <w:ind w:left="360" w:hanging="360"/>
      </w:pPr>
      <w:rPr>
        <w:rFonts w:hint="default"/>
        <w:b/>
        <w:bCs w:val="0"/>
        <w:i w:val="0"/>
        <w:spacing w:val="0"/>
        <w:w w:val="100"/>
        <w:kern w:val="2"/>
        <w:position w:val="0"/>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313977"/>
    <w:multiLevelType w:val="hybridMultilevel"/>
    <w:tmpl w:val="97F05E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718193C"/>
    <w:multiLevelType w:val="hybridMultilevel"/>
    <w:tmpl w:val="785825F2"/>
    <w:lvl w:ilvl="0" w:tplc="F24A953C">
      <w:start w:val="1"/>
      <w:numFmt w:val="decimal"/>
      <w:pStyle w:val="Soustitre1"/>
      <w:lvlText w:val="%1."/>
      <w:lvlJc w:val="left"/>
      <w:pPr>
        <w:ind w:left="1570" w:hanging="360"/>
      </w:pPr>
      <w:rPr>
        <w:rFonts w:hint="default"/>
        <w:b/>
        <w:bCs w:val="0"/>
        <w:i w:val="0"/>
        <w:spacing w:val="0"/>
        <w:w w:val="100"/>
        <w:kern w:val="2"/>
        <w:position w:val="0"/>
        <w14:numSpacing w14:val="default"/>
      </w:rPr>
    </w:lvl>
    <w:lvl w:ilvl="1" w:tplc="023ACA6C">
      <w:start w:val="1"/>
      <w:numFmt w:val="lowerLetter"/>
      <w:pStyle w:val="soussection"/>
      <w:lvlText w:val="%2)"/>
      <w:lvlJc w:val="left"/>
      <w:pPr>
        <w:ind w:left="2290" w:hanging="360"/>
      </w:pPr>
    </w:lvl>
    <w:lvl w:ilvl="2" w:tplc="350A2DC8">
      <w:start w:val="1"/>
      <w:numFmt w:val="lowerRoman"/>
      <w:pStyle w:val="Style1"/>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12" w15:restartNumberingAfterBreak="0">
    <w:nsid w:val="5AF06F61"/>
    <w:multiLevelType w:val="hybridMultilevel"/>
    <w:tmpl w:val="0614A7A6"/>
    <w:lvl w:ilvl="0" w:tplc="3294AA16">
      <w:start w:val="1"/>
      <w:numFmt w:val="bullet"/>
      <w:pStyle w:val="pucenoir"/>
      <w:lvlText w:val=""/>
      <w:lvlPicBulletId w:val="1"/>
      <w:lvlJc w:val="left"/>
      <w:pPr>
        <w:ind w:left="720" w:hanging="360"/>
      </w:pPr>
      <w:rPr>
        <w:rFonts w:ascii="Symbol" w:hAnsi="Symbol"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8A5551"/>
    <w:multiLevelType w:val="hybridMultilevel"/>
    <w:tmpl w:val="FFFFFFFF"/>
    <w:lvl w:ilvl="0" w:tplc="04EC496E">
      <w:start w:val="1"/>
      <w:numFmt w:val="bullet"/>
      <w:lvlText w:val=""/>
      <w:lvlJc w:val="left"/>
      <w:pPr>
        <w:ind w:left="720" w:hanging="360"/>
      </w:pPr>
      <w:rPr>
        <w:rFonts w:ascii="Symbol" w:hAnsi="Symbol" w:hint="default"/>
      </w:rPr>
    </w:lvl>
    <w:lvl w:ilvl="1" w:tplc="95D45786">
      <w:start w:val="1"/>
      <w:numFmt w:val="bullet"/>
      <w:lvlText w:val="o"/>
      <w:lvlJc w:val="left"/>
      <w:pPr>
        <w:ind w:left="1440" w:hanging="360"/>
      </w:pPr>
      <w:rPr>
        <w:rFonts w:ascii="Courier New" w:hAnsi="Courier New" w:hint="default"/>
      </w:rPr>
    </w:lvl>
    <w:lvl w:ilvl="2" w:tplc="05DC290C">
      <w:start w:val="1"/>
      <w:numFmt w:val="bullet"/>
      <w:lvlText w:val=""/>
      <w:lvlJc w:val="left"/>
      <w:pPr>
        <w:ind w:left="2160" w:hanging="360"/>
      </w:pPr>
      <w:rPr>
        <w:rFonts w:ascii="Wingdings" w:hAnsi="Wingdings" w:hint="default"/>
      </w:rPr>
    </w:lvl>
    <w:lvl w:ilvl="3" w:tplc="32B23FE6">
      <w:start w:val="1"/>
      <w:numFmt w:val="bullet"/>
      <w:lvlText w:val=""/>
      <w:lvlJc w:val="left"/>
      <w:pPr>
        <w:ind w:left="2880" w:hanging="360"/>
      </w:pPr>
      <w:rPr>
        <w:rFonts w:ascii="Symbol" w:hAnsi="Symbol" w:hint="default"/>
      </w:rPr>
    </w:lvl>
    <w:lvl w:ilvl="4" w:tplc="EE0E1B4C">
      <w:start w:val="1"/>
      <w:numFmt w:val="bullet"/>
      <w:lvlText w:val="o"/>
      <w:lvlJc w:val="left"/>
      <w:pPr>
        <w:ind w:left="3600" w:hanging="360"/>
      </w:pPr>
      <w:rPr>
        <w:rFonts w:ascii="Courier New" w:hAnsi="Courier New" w:hint="default"/>
      </w:rPr>
    </w:lvl>
    <w:lvl w:ilvl="5" w:tplc="7DF0F382">
      <w:start w:val="1"/>
      <w:numFmt w:val="bullet"/>
      <w:lvlText w:val=""/>
      <w:lvlJc w:val="left"/>
      <w:pPr>
        <w:ind w:left="4320" w:hanging="360"/>
      </w:pPr>
      <w:rPr>
        <w:rFonts w:ascii="Wingdings" w:hAnsi="Wingdings" w:hint="default"/>
      </w:rPr>
    </w:lvl>
    <w:lvl w:ilvl="6" w:tplc="6A5EFBFE">
      <w:start w:val="1"/>
      <w:numFmt w:val="bullet"/>
      <w:lvlText w:val=""/>
      <w:lvlJc w:val="left"/>
      <w:pPr>
        <w:ind w:left="5040" w:hanging="360"/>
      </w:pPr>
      <w:rPr>
        <w:rFonts w:ascii="Symbol" w:hAnsi="Symbol" w:hint="default"/>
      </w:rPr>
    </w:lvl>
    <w:lvl w:ilvl="7" w:tplc="E6F25CD0">
      <w:start w:val="1"/>
      <w:numFmt w:val="bullet"/>
      <w:lvlText w:val="o"/>
      <w:lvlJc w:val="left"/>
      <w:pPr>
        <w:ind w:left="5760" w:hanging="360"/>
      </w:pPr>
      <w:rPr>
        <w:rFonts w:ascii="Courier New" w:hAnsi="Courier New" w:hint="default"/>
      </w:rPr>
    </w:lvl>
    <w:lvl w:ilvl="8" w:tplc="30581E30">
      <w:start w:val="1"/>
      <w:numFmt w:val="bullet"/>
      <w:lvlText w:val=""/>
      <w:lvlJc w:val="left"/>
      <w:pPr>
        <w:ind w:left="6480" w:hanging="360"/>
      </w:pPr>
      <w:rPr>
        <w:rFonts w:ascii="Wingdings" w:hAnsi="Wingdings" w:hint="default"/>
      </w:rPr>
    </w:lvl>
  </w:abstractNum>
  <w:abstractNum w:abstractNumId="14" w15:restartNumberingAfterBreak="0">
    <w:nsid w:val="6435150B"/>
    <w:multiLevelType w:val="hybridMultilevel"/>
    <w:tmpl w:val="F9CE1926"/>
    <w:lvl w:ilvl="0" w:tplc="54BC14CE">
      <w:start w:val="1"/>
      <w:numFmt w:val="lowerLetter"/>
      <w:lvlText w:val="%1)"/>
      <w:lvlJc w:val="left"/>
      <w:pPr>
        <w:ind w:left="144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D6174AD"/>
    <w:multiLevelType w:val="multilevel"/>
    <w:tmpl w:val="100882FE"/>
    <w:lvl w:ilvl="0">
      <w:start w:val="1"/>
      <w:numFmt w:val="upperRoman"/>
      <w:pStyle w:val="Titre1"/>
      <w:lvlText w:val="%1."/>
      <w:lvlJc w:val="right"/>
      <w:pPr>
        <w:ind w:left="360" w:hanging="360"/>
      </w:pPr>
      <w:rPr>
        <w:rFonts w:hint="default"/>
      </w:rPr>
    </w:lvl>
    <w:lvl w:ilvl="1">
      <w:start w:val="1"/>
      <w:numFmt w:val="upperLetter"/>
      <w:pStyle w:val="Titre2"/>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C676EC"/>
    <w:multiLevelType w:val="hybridMultilevel"/>
    <w:tmpl w:val="3AAA09B2"/>
    <w:lvl w:ilvl="0" w:tplc="71A2B414">
      <w:start w:val="1"/>
      <w:numFmt w:val="lowerLetter"/>
      <w:lvlText w:val="%1)"/>
      <w:lvlJc w:val="left"/>
      <w:pPr>
        <w:ind w:left="2346" w:hanging="360"/>
      </w:pPr>
    </w:lvl>
    <w:lvl w:ilvl="1" w:tplc="040C0019" w:tentative="1">
      <w:start w:val="1"/>
      <w:numFmt w:val="lowerLetter"/>
      <w:lvlText w:val="%2."/>
      <w:lvlJc w:val="left"/>
      <w:pPr>
        <w:ind w:left="3066" w:hanging="360"/>
      </w:pPr>
    </w:lvl>
    <w:lvl w:ilvl="2" w:tplc="040C001B" w:tentative="1">
      <w:start w:val="1"/>
      <w:numFmt w:val="lowerRoman"/>
      <w:lvlText w:val="%3."/>
      <w:lvlJc w:val="right"/>
      <w:pPr>
        <w:ind w:left="3786" w:hanging="180"/>
      </w:pPr>
    </w:lvl>
    <w:lvl w:ilvl="3" w:tplc="040C000F" w:tentative="1">
      <w:start w:val="1"/>
      <w:numFmt w:val="decimal"/>
      <w:lvlText w:val="%4."/>
      <w:lvlJc w:val="left"/>
      <w:pPr>
        <w:ind w:left="4506" w:hanging="360"/>
      </w:pPr>
    </w:lvl>
    <w:lvl w:ilvl="4" w:tplc="040C0019" w:tentative="1">
      <w:start w:val="1"/>
      <w:numFmt w:val="lowerLetter"/>
      <w:lvlText w:val="%5."/>
      <w:lvlJc w:val="left"/>
      <w:pPr>
        <w:ind w:left="5226" w:hanging="360"/>
      </w:pPr>
    </w:lvl>
    <w:lvl w:ilvl="5" w:tplc="040C001B" w:tentative="1">
      <w:start w:val="1"/>
      <w:numFmt w:val="lowerRoman"/>
      <w:lvlText w:val="%6."/>
      <w:lvlJc w:val="right"/>
      <w:pPr>
        <w:ind w:left="5946" w:hanging="180"/>
      </w:pPr>
    </w:lvl>
    <w:lvl w:ilvl="6" w:tplc="040C000F" w:tentative="1">
      <w:start w:val="1"/>
      <w:numFmt w:val="decimal"/>
      <w:lvlText w:val="%7."/>
      <w:lvlJc w:val="left"/>
      <w:pPr>
        <w:ind w:left="6666" w:hanging="360"/>
      </w:pPr>
    </w:lvl>
    <w:lvl w:ilvl="7" w:tplc="040C0019" w:tentative="1">
      <w:start w:val="1"/>
      <w:numFmt w:val="lowerLetter"/>
      <w:lvlText w:val="%8."/>
      <w:lvlJc w:val="left"/>
      <w:pPr>
        <w:ind w:left="7386" w:hanging="360"/>
      </w:pPr>
    </w:lvl>
    <w:lvl w:ilvl="8" w:tplc="040C001B" w:tentative="1">
      <w:start w:val="1"/>
      <w:numFmt w:val="lowerRoman"/>
      <w:lvlText w:val="%9."/>
      <w:lvlJc w:val="right"/>
      <w:pPr>
        <w:ind w:left="8106" w:hanging="180"/>
      </w:pPr>
    </w:lvl>
  </w:abstractNum>
  <w:num w:numId="1" w16cid:durableId="850217749">
    <w:abstractNumId w:val="5"/>
  </w:num>
  <w:num w:numId="2" w16cid:durableId="1514102073">
    <w:abstractNumId w:val="12"/>
  </w:num>
  <w:num w:numId="3" w16cid:durableId="525752376">
    <w:abstractNumId w:val="7"/>
  </w:num>
  <w:num w:numId="4" w16cid:durableId="1641108717">
    <w:abstractNumId w:val="8"/>
  </w:num>
  <w:num w:numId="5" w16cid:durableId="905145047">
    <w:abstractNumId w:val="0"/>
  </w:num>
  <w:num w:numId="6" w16cid:durableId="1028144383">
    <w:abstractNumId w:val="15"/>
  </w:num>
  <w:num w:numId="7" w16cid:durableId="1443571022">
    <w:abstractNumId w:val="11"/>
  </w:num>
  <w:num w:numId="8" w16cid:durableId="859973023">
    <w:abstractNumId w:val="9"/>
  </w:num>
  <w:num w:numId="9" w16cid:durableId="824279008">
    <w:abstractNumId w:val="14"/>
  </w:num>
  <w:num w:numId="10" w16cid:durableId="1429808297">
    <w:abstractNumId w:val="6"/>
  </w:num>
  <w:num w:numId="11" w16cid:durableId="1910381231">
    <w:abstractNumId w:val="3"/>
  </w:num>
  <w:num w:numId="12" w16cid:durableId="1552427192">
    <w:abstractNumId w:val="9"/>
    <w:lvlOverride w:ilvl="0">
      <w:startOverride w:val="1"/>
    </w:lvlOverride>
  </w:num>
  <w:num w:numId="13" w16cid:durableId="1049569787">
    <w:abstractNumId w:val="9"/>
    <w:lvlOverride w:ilvl="0">
      <w:startOverride w:val="1"/>
    </w:lvlOverride>
  </w:num>
  <w:num w:numId="14" w16cid:durableId="6970508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1723878">
    <w:abstractNumId w:val="16"/>
  </w:num>
  <w:num w:numId="16" w16cid:durableId="959798094">
    <w:abstractNumId w:val="16"/>
    <w:lvlOverride w:ilvl="0">
      <w:startOverride w:val="1"/>
    </w:lvlOverride>
  </w:num>
  <w:num w:numId="17" w16cid:durableId="270017264">
    <w:abstractNumId w:val="16"/>
  </w:num>
  <w:num w:numId="18" w16cid:durableId="1660234949">
    <w:abstractNumId w:val="16"/>
    <w:lvlOverride w:ilvl="0">
      <w:startOverride w:val="1"/>
    </w:lvlOverride>
  </w:num>
  <w:num w:numId="19" w16cid:durableId="1919748766">
    <w:abstractNumId w:val="1"/>
  </w:num>
  <w:num w:numId="20" w16cid:durableId="516817330">
    <w:abstractNumId w:val="13"/>
  </w:num>
  <w:num w:numId="21" w16cid:durableId="1068459336">
    <w:abstractNumId w:val="4"/>
  </w:num>
  <w:num w:numId="22" w16cid:durableId="1455097426">
    <w:abstractNumId w:val="10"/>
  </w:num>
  <w:num w:numId="23" w16cid:durableId="121970502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68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1BA"/>
    <w:rsid w:val="00002603"/>
    <w:rsid w:val="000043C3"/>
    <w:rsid w:val="0000451E"/>
    <w:rsid w:val="0000483E"/>
    <w:rsid w:val="00006ACB"/>
    <w:rsid w:val="00007F0B"/>
    <w:rsid w:val="00010A41"/>
    <w:rsid w:val="00011661"/>
    <w:rsid w:val="00016F12"/>
    <w:rsid w:val="0001746F"/>
    <w:rsid w:val="000206F4"/>
    <w:rsid w:val="00020D4E"/>
    <w:rsid w:val="000214E5"/>
    <w:rsid w:val="000256A2"/>
    <w:rsid w:val="00027931"/>
    <w:rsid w:val="000335B0"/>
    <w:rsid w:val="0003369E"/>
    <w:rsid w:val="00034772"/>
    <w:rsid w:val="00040C08"/>
    <w:rsid w:val="00041F84"/>
    <w:rsid w:val="00042603"/>
    <w:rsid w:val="00042859"/>
    <w:rsid w:val="00042C3E"/>
    <w:rsid w:val="00044733"/>
    <w:rsid w:val="00045725"/>
    <w:rsid w:val="000478F5"/>
    <w:rsid w:val="000531A0"/>
    <w:rsid w:val="00057653"/>
    <w:rsid w:val="00065B8B"/>
    <w:rsid w:val="00074262"/>
    <w:rsid w:val="00075D8B"/>
    <w:rsid w:val="000770EA"/>
    <w:rsid w:val="00080014"/>
    <w:rsid w:val="00080358"/>
    <w:rsid w:val="00081E8F"/>
    <w:rsid w:val="000827C8"/>
    <w:rsid w:val="000838A8"/>
    <w:rsid w:val="00084D6C"/>
    <w:rsid w:val="00086B62"/>
    <w:rsid w:val="000904CB"/>
    <w:rsid w:val="0009100D"/>
    <w:rsid w:val="000918A7"/>
    <w:rsid w:val="000932B9"/>
    <w:rsid w:val="00096605"/>
    <w:rsid w:val="00097557"/>
    <w:rsid w:val="00097575"/>
    <w:rsid w:val="000A4324"/>
    <w:rsid w:val="000A5CBC"/>
    <w:rsid w:val="000A6665"/>
    <w:rsid w:val="000A6C1F"/>
    <w:rsid w:val="000A6E5B"/>
    <w:rsid w:val="000B4DF1"/>
    <w:rsid w:val="000B5C8D"/>
    <w:rsid w:val="000B7420"/>
    <w:rsid w:val="000B7D65"/>
    <w:rsid w:val="000C4825"/>
    <w:rsid w:val="000C5EDE"/>
    <w:rsid w:val="000E6164"/>
    <w:rsid w:val="000E7458"/>
    <w:rsid w:val="000F2981"/>
    <w:rsid w:val="000F7613"/>
    <w:rsid w:val="000F79BA"/>
    <w:rsid w:val="00106748"/>
    <w:rsid w:val="0010720B"/>
    <w:rsid w:val="001125CD"/>
    <w:rsid w:val="00112F61"/>
    <w:rsid w:val="00112F87"/>
    <w:rsid w:val="00114FAF"/>
    <w:rsid w:val="00116344"/>
    <w:rsid w:val="00123716"/>
    <w:rsid w:val="0012771D"/>
    <w:rsid w:val="00127D94"/>
    <w:rsid w:val="00127DC5"/>
    <w:rsid w:val="001311FA"/>
    <w:rsid w:val="0013120F"/>
    <w:rsid w:val="00131AA4"/>
    <w:rsid w:val="00132B62"/>
    <w:rsid w:val="00133A4E"/>
    <w:rsid w:val="00134736"/>
    <w:rsid w:val="001379A6"/>
    <w:rsid w:val="00146363"/>
    <w:rsid w:val="0014667C"/>
    <w:rsid w:val="00146786"/>
    <w:rsid w:val="001600E1"/>
    <w:rsid w:val="001640D5"/>
    <w:rsid w:val="00170BDE"/>
    <w:rsid w:val="001714C7"/>
    <w:rsid w:val="00173908"/>
    <w:rsid w:val="00173B26"/>
    <w:rsid w:val="0017709A"/>
    <w:rsid w:val="00185321"/>
    <w:rsid w:val="00185AE6"/>
    <w:rsid w:val="00194E93"/>
    <w:rsid w:val="00197B3B"/>
    <w:rsid w:val="001B35E6"/>
    <w:rsid w:val="001C02FD"/>
    <w:rsid w:val="001C4745"/>
    <w:rsid w:val="001C69A0"/>
    <w:rsid w:val="001C6E4A"/>
    <w:rsid w:val="001D1AF6"/>
    <w:rsid w:val="001D216B"/>
    <w:rsid w:val="001D5446"/>
    <w:rsid w:val="001D6EA8"/>
    <w:rsid w:val="001E3480"/>
    <w:rsid w:val="001E3DF7"/>
    <w:rsid w:val="001E55D6"/>
    <w:rsid w:val="001F1AD9"/>
    <w:rsid w:val="001F2BAC"/>
    <w:rsid w:val="001F378F"/>
    <w:rsid w:val="001F4E36"/>
    <w:rsid w:val="001F714C"/>
    <w:rsid w:val="00203D39"/>
    <w:rsid w:val="00205789"/>
    <w:rsid w:val="00205E23"/>
    <w:rsid w:val="00212327"/>
    <w:rsid w:val="00221EBC"/>
    <w:rsid w:val="00223DF4"/>
    <w:rsid w:val="00231175"/>
    <w:rsid w:val="00232DEA"/>
    <w:rsid w:val="00233330"/>
    <w:rsid w:val="0023568F"/>
    <w:rsid w:val="00237056"/>
    <w:rsid w:val="00251A99"/>
    <w:rsid w:val="00255BB1"/>
    <w:rsid w:val="00256786"/>
    <w:rsid w:val="002651B3"/>
    <w:rsid w:val="002702FF"/>
    <w:rsid w:val="00282709"/>
    <w:rsid w:val="002864A8"/>
    <w:rsid w:val="002916C1"/>
    <w:rsid w:val="00291965"/>
    <w:rsid w:val="002940BF"/>
    <w:rsid w:val="002942D7"/>
    <w:rsid w:val="00295E9F"/>
    <w:rsid w:val="002A07B1"/>
    <w:rsid w:val="002A093E"/>
    <w:rsid w:val="002A1378"/>
    <w:rsid w:val="002A22F7"/>
    <w:rsid w:val="002A2BBA"/>
    <w:rsid w:val="002A31EC"/>
    <w:rsid w:val="002A398E"/>
    <w:rsid w:val="002B470E"/>
    <w:rsid w:val="002B65A3"/>
    <w:rsid w:val="002B7A2E"/>
    <w:rsid w:val="002D0A59"/>
    <w:rsid w:val="002D6F77"/>
    <w:rsid w:val="002E3E37"/>
    <w:rsid w:val="002E4A44"/>
    <w:rsid w:val="002E54B9"/>
    <w:rsid w:val="002E5C9F"/>
    <w:rsid w:val="002E76E2"/>
    <w:rsid w:val="002F0E66"/>
    <w:rsid w:val="00300F99"/>
    <w:rsid w:val="00304662"/>
    <w:rsid w:val="00313A85"/>
    <w:rsid w:val="00314036"/>
    <w:rsid w:val="003165FD"/>
    <w:rsid w:val="0031799B"/>
    <w:rsid w:val="00324363"/>
    <w:rsid w:val="003269CA"/>
    <w:rsid w:val="00326FFA"/>
    <w:rsid w:val="003342E8"/>
    <w:rsid w:val="00340636"/>
    <w:rsid w:val="00341438"/>
    <w:rsid w:val="003434D4"/>
    <w:rsid w:val="00351749"/>
    <w:rsid w:val="00353CA8"/>
    <w:rsid w:val="00355ABE"/>
    <w:rsid w:val="0035631B"/>
    <w:rsid w:val="00364C07"/>
    <w:rsid w:val="00366A88"/>
    <w:rsid w:val="003670F1"/>
    <w:rsid w:val="003675EA"/>
    <w:rsid w:val="00367CA6"/>
    <w:rsid w:val="00376C89"/>
    <w:rsid w:val="00377B40"/>
    <w:rsid w:val="003814AE"/>
    <w:rsid w:val="003816D1"/>
    <w:rsid w:val="00384E99"/>
    <w:rsid w:val="00385839"/>
    <w:rsid w:val="00387EC1"/>
    <w:rsid w:val="003A1244"/>
    <w:rsid w:val="003A1F0B"/>
    <w:rsid w:val="003A483E"/>
    <w:rsid w:val="003A4BE8"/>
    <w:rsid w:val="003B74D1"/>
    <w:rsid w:val="003B7683"/>
    <w:rsid w:val="003C0FA6"/>
    <w:rsid w:val="003C4B3A"/>
    <w:rsid w:val="003D53E0"/>
    <w:rsid w:val="003E114A"/>
    <w:rsid w:val="003E38BB"/>
    <w:rsid w:val="003E4C9B"/>
    <w:rsid w:val="003E7563"/>
    <w:rsid w:val="003F65A4"/>
    <w:rsid w:val="004047B9"/>
    <w:rsid w:val="00405EE4"/>
    <w:rsid w:val="004104AA"/>
    <w:rsid w:val="0041173C"/>
    <w:rsid w:val="0041582C"/>
    <w:rsid w:val="004159B6"/>
    <w:rsid w:val="00422F18"/>
    <w:rsid w:val="004257F5"/>
    <w:rsid w:val="00427F39"/>
    <w:rsid w:val="00433A7E"/>
    <w:rsid w:val="00435F14"/>
    <w:rsid w:val="0044036D"/>
    <w:rsid w:val="00445155"/>
    <w:rsid w:val="00447F2D"/>
    <w:rsid w:val="004511DF"/>
    <w:rsid w:val="004527DC"/>
    <w:rsid w:val="004557B4"/>
    <w:rsid w:val="00464B57"/>
    <w:rsid w:val="004714F3"/>
    <w:rsid w:val="00473066"/>
    <w:rsid w:val="0047382F"/>
    <w:rsid w:val="00476018"/>
    <w:rsid w:val="00477743"/>
    <w:rsid w:val="00480682"/>
    <w:rsid w:val="00483800"/>
    <w:rsid w:val="00493F99"/>
    <w:rsid w:val="004A23D3"/>
    <w:rsid w:val="004A29C2"/>
    <w:rsid w:val="004A2C73"/>
    <w:rsid w:val="004A41AD"/>
    <w:rsid w:val="004B0E2F"/>
    <w:rsid w:val="004B1997"/>
    <w:rsid w:val="004B1FCF"/>
    <w:rsid w:val="004B2C81"/>
    <w:rsid w:val="004B373A"/>
    <w:rsid w:val="004B4C99"/>
    <w:rsid w:val="004C1484"/>
    <w:rsid w:val="004C18A7"/>
    <w:rsid w:val="004C2D58"/>
    <w:rsid w:val="004C4C2A"/>
    <w:rsid w:val="004C5D74"/>
    <w:rsid w:val="004D03AC"/>
    <w:rsid w:val="004D20EA"/>
    <w:rsid w:val="004D5E88"/>
    <w:rsid w:val="004D653B"/>
    <w:rsid w:val="004E26F3"/>
    <w:rsid w:val="004E373F"/>
    <w:rsid w:val="004E6AA4"/>
    <w:rsid w:val="004E7B2A"/>
    <w:rsid w:val="004E7C69"/>
    <w:rsid w:val="004F2396"/>
    <w:rsid w:val="004F435D"/>
    <w:rsid w:val="00500756"/>
    <w:rsid w:val="005009C3"/>
    <w:rsid w:val="00500CAB"/>
    <w:rsid w:val="0050479B"/>
    <w:rsid w:val="00506177"/>
    <w:rsid w:val="0051222C"/>
    <w:rsid w:val="00512682"/>
    <w:rsid w:val="00515CAD"/>
    <w:rsid w:val="00520DC8"/>
    <w:rsid w:val="00521DBA"/>
    <w:rsid w:val="005246D0"/>
    <w:rsid w:val="00527B4F"/>
    <w:rsid w:val="00527F8E"/>
    <w:rsid w:val="005318F5"/>
    <w:rsid w:val="005376E6"/>
    <w:rsid w:val="00544B59"/>
    <w:rsid w:val="00547536"/>
    <w:rsid w:val="00550A6F"/>
    <w:rsid w:val="00551A44"/>
    <w:rsid w:val="0055374C"/>
    <w:rsid w:val="00553797"/>
    <w:rsid w:val="0056079E"/>
    <w:rsid w:val="00562762"/>
    <w:rsid w:val="00563184"/>
    <w:rsid w:val="00572D79"/>
    <w:rsid w:val="0057302E"/>
    <w:rsid w:val="005757E3"/>
    <w:rsid w:val="0057585B"/>
    <w:rsid w:val="005759F9"/>
    <w:rsid w:val="00575AE9"/>
    <w:rsid w:val="00576AC6"/>
    <w:rsid w:val="0058636B"/>
    <w:rsid w:val="00595B1C"/>
    <w:rsid w:val="005A0E86"/>
    <w:rsid w:val="005A1E65"/>
    <w:rsid w:val="005A3876"/>
    <w:rsid w:val="005A3E65"/>
    <w:rsid w:val="005A58ED"/>
    <w:rsid w:val="005B0DD7"/>
    <w:rsid w:val="005B26AD"/>
    <w:rsid w:val="005B4F39"/>
    <w:rsid w:val="005B7332"/>
    <w:rsid w:val="005C3583"/>
    <w:rsid w:val="005C70B5"/>
    <w:rsid w:val="005C752E"/>
    <w:rsid w:val="005C7DA9"/>
    <w:rsid w:val="005D3367"/>
    <w:rsid w:val="005E1462"/>
    <w:rsid w:val="005E31B6"/>
    <w:rsid w:val="005E39D9"/>
    <w:rsid w:val="005E4DC1"/>
    <w:rsid w:val="005F22DE"/>
    <w:rsid w:val="00604456"/>
    <w:rsid w:val="00604FBB"/>
    <w:rsid w:val="006134F0"/>
    <w:rsid w:val="006144DF"/>
    <w:rsid w:val="00614860"/>
    <w:rsid w:val="00617585"/>
    <w:rsid w:val="00622EE8"/>
    <w:rsid w:val="00623E0A"/>
    <w:rsid w:val="00627FB4"/>
    <w:rsid w:val="00633512"/>
    <w:rsid w:val="00634A50"/>
    <w:rsid w:val="00635EF2"/>
    <w:rsid w:val="006404EE"/>
    <w:rsid w:val="00640DCB"/>
    <w:rsid w:val="00644C0D"/>
    <w:rsid w:val="0064606A"/>
    <w:rsid w:val="006467B4"/>
    <w:rsid w:val="006468ED"/>
    <w:rsid w:val="0065154D"/>
    <w:rsid w:val="00654237"/>
    <w:rsid w:val="00655E8D"/>
    <w:rsid w:val="00663704"/>
    <w:rsid w:val="00665325"/>
    <w:rsid w:val="00665DD3"/>
    <w:rsid w:val="006670A7"/>
    <w:rsid w:val="00671BE6"/>
    <w:rsid w:val="00672E25"/>
    <w:rsid w:val="006763A6"/>
    <w:rsid w:val="00677D96"/>
    <w:rsid w:val="0068070D"/>
    <w:rsid w:val="00681295"/>
    <w:rsid w:val="006829AC"/>
    <w:rsid w:val="00682D64"/>
    <w:rsid w:val="0068546F"/>
    <w:rsid w:val="00691DAC"/>
    <w:rsid w:val="00696CDC"/>
    <w:rsid w:val="00696E78"/>
    <w:rsid w:val="006A0373"/>
    <w:rsid w:val="006A044D"/>
    <w:rsid w:val="006A0978"/>
    <w:rsid w:val="006A0BC4"/>
    <w:rsid w:val="006A2706"/>
    <w:rsid w:val="006A2A4D"/>
    <w:rsid w:val="006A50FE"/>
    <w:rsid w:val="006A5109"/>
    <w:rsid w:val="006A57BD"/>
    <w:rsid w:val="006A6EA1"/>
    <w:rsid w:val="006B2BAC"/>
    <w:rsid w:val="006B413D"/>
    <w:rsid w:val="006B4CE9"/>
    <w:rsid w:val="006B65D2"/>
    <w:rsid w:val="006C6191"/>
    <w:rsid w:val="006D0496"/>
    <w:rsid w:val="006D3821"/>
    <w:rsid w:val="006D5D0F"/>
    <w:rsid w:val="006E02AD"/>
    <w:rsid w:val="006E39A7"/>
    <w:rsid w:val="006E605E"/>
    <w:rsid w:val="006F3E28"/>
    <w:rsid w:val="006F42CC"/>
    <w:rsid w:val="006F7441"/>
    <w:rsid w:val="00702E07"/>
    <w:rsid w:val="007039F2"/>
    <w:rsid w:val="00707012"/>
    <w:rsid w:val="00707146"/>
    <w:rsid w:val="00707EA6"/>
    <w:rsid w:val="00711559"/>
    <w:rsid w:val="00715C31"/>
    <w:rsid w:val="00716C46"/>
    <w:rsid w:val="00717FD7"/>
    <w:rsid w:val="0073015E"/>
    <w:rsid w:val="00731FB0"/>
    <w:rsid w:val="0073639D"/>
    <w:rsid w:val="007368C3"/>
    <w:rsid w:val="00737FB6"/>
    <w:rsid w:val="0074007A"/>
    <w:rsid w:val="00742277"/>
    <w:rsid w:val="00743807"/>
    <w:rsid w:val="0074664F"/>
    <w:rsid w:val="007530E8"/>
    <w:rsid w:val="007539D0"/>
    <w:rsid w:val="00754AB2"/>
    <w:rsid w:val="00755144"/>
    <w:rsid w:val="00760650"/>
    <w:rsid w:val="007619ED"/>
    <w:rsid w:val="007626A3"/>
    <w:rsid w:val="00762E5A"/>
    <w:rsid w:val="00764A71"/>
    <w:rsid w:val="00766864"/>
    <w:rsid w:val="00767AD3"/>
    <w:rsid w:val="0077105C"/>
    <w:rsid w:val="00783B20"/>
    <w:rsid w:val="0078443A"/>
    <w:rsid w:val="00785D38"/>
    <w:rsid w:val="007A0A9B"/>
    <w:rsid w:val="007A46D2"/>
    <w:rsid w:val="007B2E3C"/>
    <w:rsid w:val="007C108E"/>
    <w:rsid w:val="007C7045"/>
    <w:rsid w:val="007C7233"/>
    <w:rsid w:val="007D09D1"/>
    <w:rsid w:val="007D120E"/>
    <w:rsid w:val="007D212B"/>
    <w:rsid w:val="007D2FE5"/>
    <w:rsid w:val="007D4D2C"/>
    <w:rsid w:val="007E3DAD"/>
    <w:rsid w:val="007E7556"/>
    <w:rsid w:val="007E7587"/>
    <w:rsid w:val="007E7D89"/>
    <w:rsid w:val="007F2312"/>
    <w:rsid w:val="007F26E5"/>
    <w:rsid w:val="007F533E"/>
    <w:rsid w:val="00801E04"/>
    <w:rsid w:val="00807749"/>
    <w:rsid w:val="00807984"/>
    <w:rsid w:val="0081453F"/>
    <w:rsid w:val="00815178"/>
    <w:rsid w:val="00822993"/>
    <w:rsid w:val="00830BC5"/>
    <w:rsid w:val="00833049"/>
    <w:rsid w:val="008523D2"/>
    <w:rsid w:val="00855C8A"/>
    <w:rsid w:val="00855CEB"/>
    <w:rsid w:val="00856B0B"/>
    <w:rsid w:val="00857DAF"/>
    <w:rsid w:val="00862485"/>
    <w:rsid w:val="00865CC5"/>
    <w:rsid w:val="008662AA"/>
    <w:rsid w:val="00871653"/>
    <w:rsid w:val="00872205"/>
    <w:rsid w:val="0088043C"/>
    <w:rsid w:val="00881E37"/>
    <w:rsid w:val="00882CFC"/>
    <w:rsid w:val="00883986"/>
    <w:rsid w:val="008873DC"/>
    <w:rsid w:val="008926CE"/>
    <w:rsid w:val="008931C0"/>
    <w:rsid w:val="00893A08"/>
    <w:rsid w:val="00895EEA"/>
    <w:rsid w:val="008A0B4E"/>
    <w:rsid w:val="008A41AF"/>
    <w:rsid w:val="008B38D2"/>
    <w:rsid w:val="008B3BBB"/>
    <w:rsid w:val="008B4D23"/>
    <w:rsid w:val="008B61DD"/>
    <w:rsid w:val="008C0D02"/>
    <w:rsid w:val="008C13FD"/>
    <w:rsid w:val="008C2FEF"/>
    <w:rsid w:val="008C3DF4"/>
    <w:rsid w:val="008C43C0"/>
    <w:rsid w:val="008C498F"/>
    <w:rsid w:val="008C6A00"/>
    <w:rsid w:val="008D0E68"/>
    <w:rsid w:val="008D75B9"/>
    <w:rsid w:val="008E0B02"/>
    <w:rsid w:val="008F1797"/>
    <w:rsid w:val="008F3078"/>
    <w:rsid w:val="008F7F02"/>
    <w:rsid w:val="009011BA"/>
    <w:rsid w:val="009031D3"/>
    <w:rsid w:val="009050B1"/>
    <w:rsid w:val="00905F6E"/>
    <w:rsid w:val="00907D6B"/>
    <w:rsid w:val="00910A16"/>
    <w:rsid w:val="009140B0"/>
    <w:rsid w:val="0091460D"/>
    <w:rsid w:val="00921619"/>
    <w:rsid w:val="0092541C"/>
    <w:rsid w:val="00926722"/>
    <w:rsid w:val="00934290"/>
    <w:rsid w:val="00937591"/>
    <w:rsid w:val="009379A4"/>
    <w:rsid w:val="00951D39"/>
    <w:rsid w:val="009535CD"/>
    <w:rsid w:val="00954D45"/>
    <w:rsid w:val="00961B39"/>
    <w:rsid w:val="009625CC"/>
    <w:rsid w:val="00967968"/>
    <w:rsid w:val="00967A65"/>
    <w:rsid w:val="00971163"/>
    <w:rsid w:val="0097129F"/>
    <w:rsid w:val="00972408"/>
    <w:rsid w:val="00974417"/>
    <w:rsid w:val="00976455"/>
    <w:rsid w:val="00976F30"/>
    <w:rsid w:val="00981241"/>
    <w:rsid w:val="009949FF"/>
    <w:rsid w:val="009A515F"/>
    <w:rsid w:val="009A5889"/>
    <w:rsid w:val="009B5533"/>
    <w:rsid w:val="009B7C41"/>
    <w:rsid w:val="009C407F"/>
    <w:rsid w:val="009C4463"/>
    <w:rsid w:val="009C57FD"/>
    <w:rsid w:val="009C6316"/>
    <w:rsid w:val="009D0301"/>
    <w:rsid w:val="009D0E64"/>
    <w:rsid w:val="009D101F"/>
    <w:rsid w:val="009D1B89"/>
    <w:rsid w:val="009D22F1"/>
    <w:rsid w:val="009D26B8"/>
    <w:rsid w:val="009D3500"/>
    <w:rsid w:val="009D3EF3"/>
    <w:rsid w:val="009D4371"/>
    <w:rsid w:val="009D754F"/>
    <w:rsid w:val="009E2134"/>
    <w:rsid w:val="009E57B6"/>
    <w:rsid w:val="009E5A0C"/>
    <w:rsid w:val="009E5C1B"/>
    <w:rsid w:val="009E5E91"/>
    <w:rsid w:val="009E60E9"/>
    <w:rsid w:val="009F05AA"/>
    <w:rsid w:val="009F309B"/>
    <w:rsid w:val="009F3A34"/>
    <w:rsid w:val="009F4701"/>
    <w:rsid w:val="009F6852"/>
    <w:rsid w:val="009F74FC"/>
    <w:rsid w:val="00A0316E"/>
    <w:rsid w:val="00A039C6"/>
    <w:rsid w:val="00A04BEB"/>
    <w:rsid w:val="00A200AF"/>
    <w:rsid w:val="00A24BAD"/>
    <w:rsid w:val="00A257A7"/>
    <w:rsid w:val="00A26D7B"/>
    <w:rsid w:val="00A32692"/>
    <w:rsid w:val="00A345E0"/>
    <w:rsid w:val="00A34D3A"/>
    <w:rsid w:val="00A37374"/>
    <w:rsid w:val="00A421CE"/>
    <w:rsid w:val="00A4318B"/>
    <w:rsid w:val="00A4542D"/>
    <w:rsid w:val="00A5122D"/>
    <w:rsid w:val="00A56E1E"/>
    <w:rsid w:val="00A57528"/>
    <w:rsid w:val="00A57B41"/>
    <w:rsid w:val="00A61CA5"/>
    <w:rsid w:val="00A668D8"/>
    <w:rsid w:val="00A728C1"/>
    <w:rsid w:val="00A7456B"/>
    <w:rsid w:val="00A745A4"/>
    <w:rsid w:val="00A7577C"/>
    <w:rsid w:val="00A90FF0"/>
    <w:rsid w:val="00A92863"/>
    <w:rsid w:val="00A9449F"/>
    <w:rsid w:val="00A944F3"/>
    <w:rsid w:val="00A95DE9"/>
    <w:rsid w:val="00AA0CC6"/>
    <w:rsid w:val="00AA207C"/>
    <w:rsid w:val="00AA2B6E"/>
    <w:rsid w:val="00AA2B8A"/>
    <w:rsid w:val="00AA2C89"/>
    <w:rsid w:val="00AA3475"/>
    <w:rsid w:val="00AB2226"/>
    <w:rsid w:val="00AB38B6"/>
    <w:rsid w:val="00AC0A4A"/>
    <w:rsid w:val="00AC317F"/>
    <w:rsid w:val="00AC4B28"/>
    <w:rsid w:val="00AC5F85"/>
    <w:rsid w:val="00AC69BB"/>
    <w:rsid w:val="00AD14C7"/>
    <w:rsid w:val="00AD1BB2"/>
    <w:rsid w:val="00AD281A"/>
    <w:rsid w:val="00AD303D"/>
    <w:rsid w:val="00AD5753"/>
    <w:rsid w:val="00AE163E"/>
    <w:rsid w:val="00AE21FC"/>
    <w:rsid w:val="00AE2A66"/>
    <w:rsid w:val="00AE472D"/>
    <w:rsid w:val="00AE4ECC"/>
    <w:rsid w:val="00AE712D"/>
    <w:rsid w:val="00AF2316"/>
    <w:rsid w:val="00AF2BA6"/>
    <w:rsid w:val="00AF5DB0"/>
    <w:rsid w:val="00AF6523"/>
    <w:rsid w:val="00AF6638"/>
    <w:rsid w:val="00AF6D18"/>
    <w:rsid w:val="00AF7719"/>
    <w:rsid w:val="00B017AF"/>
    <w:rsid w:val="00B04BE0"/>
    <w:rsid w:val="00B073A0"/>
    <w:rsid w:val="00B11E6D"/>
    <w:rsid w:val="00B12A80"/>
    <w:rsid w:val="00B278AA"/>
    <w:rsid w:val="00B36EC1"/>
    <w:rsid w:val="00B37736"/>
    <w:rsid w:val="00B451E7"/>
    <w:rsid w:val="00B45D42"/>
    <w:rsid w:val="00B46684"/>
    <w:rsid w:val="00B542B8"/>
    <w:rsid w:val="00B62BEC"/>
    <w:rsid w:val="00B665F2"/>
    <w:rsid w:val="00B80608"/>
    <w:rsid w:val="00B8679E"/>
    <w:rsid w:val="00B94D14"/>
    <w:rsid w:val="00B95532"/>
    <w:rsid w:val="00B9659A"/>
    <w:rsid w:val="00B968C4"/>
    <w:rsid w:val="00BA205B"/>
    <w:rsid w:val="00BA3C41"/>
    <w:rsid w:val="00BA46A9"/>
    <w:rsid w:val="00BA4E54"/>
    <w:rsid w:val="00BB1EFF"/>
    <w:rsid w:val="00BB2DF1"/>
    <w:rsid w:val="00BB3CE5"/>
    <w:rsid w:val="00BB5FFE"/>
    <w:rsid w:val="00BC062F"/>
    <w:rsid w:val="00BC28E7"/>
    <w:rsid w:val="00BC4859"/>
    <w:rsid w:val="00BC77FF"/>
    <w:rsid w:val="00BC7FB7"/>
    <w:rsid w:val="00BD0225"/>
    <w:rsid w:val="00BD1FB1"/>
    <w:rsid w:val="00BD261C"/>
    <w:rsid w:val="00BD7B75"/>
    <w:rsid w:val="00BE1D94"/>
    <w:rsid w:val="00BE2F83"/>
    <w:rsid w:val="00BE4292"/>
    <w:rsid w:val="00BF0DAB"/>
    <w:rsid w:val="00BF1115"/>
    <w:rsid w:val="00BF2AF5"/>
    <w:rsid w:val="00BF40A4"/>
    <w:rsid w:val="00BF5CAD"/>
    <w:rsid w:val="00C00B6D"/>
    <w:rsid w:val="00C00D4C"/>
    <w:rsid w:val="00C04CB8"/>
    <w:rsid w:val="00C057E5"/>
    <w:rsid w:val="00C05FB9"/>
    <w:rsid w:val="00C07772"/>
    <w:rsid w:val="00C10B8F"/>
    <w:rsid w:val="00C16739"/>
    <w:rsid w:val="00C24850"/>
    <w:rsid w:val="00C24E7E"/>
    <w:rsid w:val="00C2722C"/>
    <w:rsid w:val="00C31D86"/>
    <w:rsid w:val="00C33B3A"/>
    <w:rsid w:val="00C36D3C"/>
    <w:rsid w:val="00C37649"/>
    <w:rsid w:val="00C42B5A"/>
    <w:rsid w:val="00C42D65"/>
    <w:rsid w:val="00C45408"/>
    <w:rsid w:val="00C45A9E"/>
    <w:rsid w:val="00C46FFC"/>
    <w:rsid w:val="00C47E4F"/>
    <w:rsid w:val="00C52253"/>
    <w:rsid w:val="00C562A6"/>
    <w:rsid w:val="00C57E8D"/>
    <w:rsid w:val="00C649BE"/>
    <w:rsid w:val="00C73B20"/>
    <w:rsid w:val="00C81CCE"/>
    <w:rsid w:val="00C82B4A"/>
    <w:rsid w:val="00C83DBF"/>
    <w:rsid w:val="00C84A94"/>
    <w:rsid w:val="00C8583A"/>
    <w:rsid w:val="00C946EE"/>
    <w:rsid w:val="00C96181"/>
    <w:rsid w:val="00CA2164"/>
    <w:rsid w:val="00CB718A"/>
    <w:rsid w:val="00CC4150"/>
    <w:rsid w:val="00CC5585"/>
    <w:rsid w:val="00CD3631"/>
    <w:rsid w:val="00CD632B"/>
    <w:rsid w:val="00CD7CC0"/>
    <w:rsid w:val="00CE2AEE"/>
    <w:rsid w:val="00CE3718"/>
    <w:rsid w:val="00CE46AD"/>
    <w:rsid w:val="00CE5CA3"/>
    <w:rsid w:val="00CF016F"/>
    <w:rsid w:val="00CF07DD"/>
    <w:rsid w:val="00CF4B53"/>
    <w:rsid w:val="00CF7B57"/>
    <w:rsid w:val="00D043ED"/>
    <w:rsid w:val="00D05A9E"/>
    <w:rsid w:val="00D0600D"/>
    <w:rsid w:val="00D07B96"/>
    <w:rsid w:val="00D11C2D"/>
    <w:rsid w:val="00D1233F"/>
    <w:rsid w:val="00D12A5A"/>
    <w:rsid w:val="00D15FF4"/>
    <w:rsid w:val="00D17D80"/>
    <w:rsid w:val="00D20A47"/>
    <w:rsid w:val="00D3666C"/>
    <w:rsid w:val="00D4044D"/>
    <w:rsid w:val="00D43BCD"/>
    <w:rsid w:val="00D44F84"/>
    <w:rsid w:val="00D46431"/>
    <w:rsid w:val="00D47237"/>
    <w:rsid w:val="00D5481F"/>
    <w:rsid w:val="00D54C64"/>
    <w:rsid w:val="00D608F5"/>
    <w:rsid w:val="00D62986"/>
    <w:rsid w:val="00D63A2E"/>
    <w:rsid w:val="00D64D12"/>
    <w:rsid w:val="00D6574C"/>
    <w:rsid w:val="00D674CA"/>
    <w:rsid w:val="00D74FB7"/>
    <w:rsid w:val="00D75E95"/>
    <w:rsid w:val="00D77105"/>
    <w:rsid w:val="00D821CB"/>
    <w:rsid w:val="00D82A85"/>
    <w:rsid w:val="00D83539"/>
    <w:rsid w:val="00D845F1"/>
    <w:rsid w:val="00D95EDE"/>
    <w:rsid w:val="00D9613E"/>
    <w:rsid w:val="00D97A51"/>
    <w:rsid w:val="00D97EDB"/>
    <w:rsid w:val="00DA1B8C"/>
    <w:rsid w:val="00DA51FD"/>
    <w:rsid w:val="00DA586C"/>
    <w:rsid w:val="00DA60F6"/>
    <w:rsid w:val="00DB1106"/>
    <w:rsid w:val="00DB1FE2"/>
    <w:rsid w:val="00DB27F3"/>
    <w:rsid w:val="00DB363C"/>
    <w:rsid w:val="00DB4264"/>
    <w:rsid w:val="00DB44F8"/>
    <w:rsid w:val="00DB4685"/>
    <w:rsid w:val="00DB4E36"/>
    <w:rsid w:val="00DC0A2A"/>
    <w:rsid w:val="00DC32B2"/>
    <w:rsid w:val="00DD35F2"/>
    <w:rsid w:val="00DD5BD4"/>
    <w:rsid w:val="00DD7849"/>
    <w:rsid w:val="00DE00F0"/>
    <w:rsid w:val="00DE083A"/>
    <w:rsid w:val="00DE0A66"/>
    <w:rsid w:val="00DE3F3C"/>
    <w:rsid w:val="00DF33A1"/>
    <w:rsid w:val="00DF7D41"/>
    <w:rsid w:val="00DF7D71"/>
    <w:rsid w:val="00E037C7"/>
    <w:rsid w:val="00E11A49"/>
    <w:rsid w:val="00E16760"/>
    <w:rsid w:val="00E2048E"/>
    <w:rsid w:val="00E2769A"/>
    <w:rsid w:val="00E310F2"/>
    <w:rsid w:val="00E3215F"/>
    <w:rsid w:val="00E40FCF"/>
    <w:rsid w:val="00E4733E"/>
    <w:rsid w:val="00E516CA"/>
    <w:rsid w:val="00E55769"/>
    <w:rsid w:val="00E6122D"/>
    <w:rsid w:val="00E63A4A"/>
    <w:rsid w:val="00E66ACD"/>
    <w:rsid w:val="00E71E5C"/>
    <w:rsid w:val="00E72D52"/>
    <w:rsid w:val="00E775AB"/>
    <w:rsid w:val="00E80079"/>
    <w:rsid w:val="00E8173B"/>
    <w:rsid w:val="00E83954"/>
    <w:rsid w:val="00E8537B"/>
    <w:rsid w:val="00E91C00"/>
    <w:rsid w:val="00E92789"/>
    <w:rsid w:val="00E92B10"/>
    <w:rsid w:val="00E92FA1"/>
    <w:rsid w:val="00E939FA"/>
    <w:rsid w:val="00E95127"/>
    <w:rsid w:val="00EA52E4"/>
    <w:rsid w:val="00EA5594"/>
    <w:rsid w:val="00EA5D3C"/>
    <w:rsid w:val="00EC0EF2"/>
    <w:rsid w:val="00EC4633"/>
    <w:rsid w:val="00EC5A61"/>
    <w:rsid w:val="00EC699D"/>
    <w:rsid w:val="00EC7DE2"/>
    <w:rsid w:val="00ED1734"/>
    <w:rsid w:val="00ED43D4"/>
    <w:rsid w:val="00EF05CF"/>
    <w:rsid w:val="00EF18EA"/>
    <w:rsid w:val="00EF411F"/>
    <w:rsid w:val="00EF7E72"/>
    <w:rsid w:val="00F01299"/>
    <w:rsid w:val="00F04C7B"/>
    <w:rsid w:val="00F07948"/>
    <w:rsid w:val="00F11178"/>
    <w:rsid w:val="00F17AA5"/>
    <w:rsid w:val="00F204B0"/>
    <w:rsid w:val="00F20B71"/>
    <w:rsid w:val="00F352F3"/>
    <w:rsid w:val="00F362B6"/>
    <w:rsid w:val="00F37A95"/>
    <w:rsid w:val="00F41A59"/>
    <w:rsid w:val="00F457A0"/>
    <w:rsid w:val="00F50DB9"/>
    <w:rsid w:val="00F571D5"/>
    <w:rsid w:val="00F600E2"/>
    <w:rsid w:val="00F60303"/>
    <w:rsid w:val="00F70309"/>
    <w:rsid w:val="00F7523A"/>
    <w:rsid w:val="00F75C72"/>
    <w:rsid w:val="00F80ABF"/>
    <w:rsid w:val="00F84D1D"/>
    <w:rsid w:val="00F8560D"/>
    <w:rsid w:val="00F87793"/>
    <w:rsid w:val="00F87B3C"/>
    <w:rsid w:val="00F930E3"/>
    <w:rsid w:val="00F9694A"/>
    <w:rsid w:val="00FA2DDA"/>
    <w:rsid w:val="00FB5611"/>
    <w:rsid w:val="00FB6019"/>
    <w:rsid w:val="00FB7DFF"/>
    <w:rsid w:val="00FC4DAE"/>
    <w:rsid w:val="00FD2B17"/>
    <w:rsid w:val="00FD2C9B"/>
    <w:rsid w:val="00FD680D"/>
    <w:rsid w:val="00FE1309"/>
    <w:rsid w:val="00FE5F7D"/>
    <w:rsid w:val="00FE7DC0"/>
    <w:rsid w:val="00FF0794"/>
    <w:rsid w:val="00FF0A50"/>
    <w:rsid w:val="00FF1107"/>
    <w:rsid w:val="00FF2FA3"/>
    <w:rsid w:val="00FF5DB5"/>
    <w:rsid w:val="00FF7F2D"/>
    <w:rsid w:val="1404F9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39F6"/>
  <w15:chartTrackingRefBased/>
  <w15:docId w15:val="{DCD91F86-712F-4B07-8AF9-9CE1828C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9E"/>
    <w:pPr>
      <w:jc w:val="both"/>
    </w:pPr>
    <w:rPr>
      <w:rFonts w:ascii="Calibri" w:hAnsi="Calibri" w:cs="ArialMT"/>
      <w:kern w:val="0"/>
      <w:szCs w:val="20"/>
    </w:rPr>
  </w:style>
  <w:style w:type="paragraph" w:styleId="Titre1">
    <w:name w:val="heading 1"/>
    <w:next w:val="Normal"/>
    <w:link w:val="Titre1Car"/>
    <w:uiPriority w:val="9"/>
    <w:qFormat/>
    <w:rsid w:val="0010720B"/>
    <w:pPr>
      <w:numPr>
        <w:numId w:val="6"/>
      </w:numPr>
      <w:spacing w:before="600" w:after="240"/>
      <w:outlineLvl w:val="0"/>
    </w:pPr>
    <w:rPr>
      <w:rFonts w:ascii="Arial-BoldMT" w:hAnsi="Arial-BoldMT" w:cs="Arial-BoldMT"/>
      <w:b/>
      <w:bCs/>
      <w:smallCaps/>
      <w:color w:val="026EA6"/>
      <w:kern w:val="0"/>
      <w:sz w:val="28"/>
      <w:szCs w:val="28"/>
      <w:lang w:val="en-US"/>
    </w:rPr>
  </w:style>
  <w:style w:type="paragraph" w:styleId="Titre2">
    <w:name w:val="heading 2"/>
    <w:aliases w:val="Titre A,B,C"/>
    <w:basedOn w:val="Titre1"/>
    <w:next w:val="Normal"/>
    <w:link w:val="Titre2Car"/>
    <w:uiPriority w:val="9"/>
    <w:unhideWhenUsed/>
    <w:qFormat/>
    <w:rsid w:val="0010720B"/>
    <w:pPr>
      <w:numPr>
        <w:ilvl w:val="1"/>
      </w:numPr>
      <w:spacing w:before="360"/>
      <w:outlineLvl w:val="1"/>
    </w:pPr>
    <w:rPr>
      <w:rFonts w:ascii="ArialMT" w:hAnsi="ArialMT" w:cs="ArialMT"/>
      <w:noProof/>
      <w:kern w:val="2"/>
      <w:sz w:val="24"/>
      <w:szCs w:val="24"/>
      <w:lang w:val="fr-FR"/>
    </w:rPr>
  </w:style>
  <w:style w:type="paragraph" w:styleId="Titre3">
    <w:name w:val="heading 3"/>
    <w:basedOn w:val="Normal"/>
    <w:next w:val="Normal"/>
    <w:link w:val="Titre3Car"/>
    <w:uiPriority w:val="9"/>
    <w:unhideWhenUsed/>
    <w:qFormat/>
    <w:rsid w:val="00F87B3C"/>
    <w:pPr>
      <w:keepNext/>
      <w:keepLines/>
      <w:spacing w:before="60" w:after="120"/>
      <w:outlineLvl w:val="2"/>
    </w:pPr>
    <w:rPr>
      <w:rFonts w:asciiTheme="majorHAnsi" w:eastAsiaTheme="majorEastAsia" w:hAnsiTheme="majorHAnsi" w:cstheme="majorBidi"/>
      <w:i/>
      <w:iCs/>
      <w:noProof/>
      <w:color w:val="026EA6"/>
      <w:szCs w:val="22"/>
    </w:rPr>
  </w:style>
  <w:style w:type="paragraph" w:styleId="Titre4">
    <w:name w:val="heading 4"/>
    <w:basedOn w:val="Normal"/>
    <w:next w:val="Normal"/>
    <w:link w:val="Titre4Car"/>
    <w:uiPriority w:val="9"/>
    <w:unhideWhenUsed/>
    <w:rsid w:val="00F362B6"/>
    <w:pPr>
      <w:keepNext/>
      <w:keepLines/>
      <w:spacing w:before="40" w:after="0"/>
      <w:outlineLvl w:val="3"/>
    </w:pPr>
    <w:rPr>
      <w:rFonts w:asciiTheme="majorHAnsi" w:eastAsiaTheme="majorEastAsia" w:hAnsiTheme="majorHAnsi" w:cstheme="majorBidi"/>
      <w:i/>
      <w:iCs/>
      <w:color w:val="356F96" w:themeColor="accent1" w:themeShade="BF"/>
    </w:rPr>
  </w:style>
  <w:style w:type="paragraph" w:styleId="Titre5">
    <w:name w:val="heading 5"/>
    <w:basedOn w:val="Normal"/>
    <w:next w:val="Normal"/>
    <w:link w:val="Titre5Car"/>
    <w:uiPriority w:val="9"/>
    <w:semiHidden/>
    <w:unhideWhenUsed/>
    <w:rsid w:val="00766864"/>
    <w:pPr>
      <w:keepNext/>
      <w:keepLines/>
      <w:spacing w:before="40" w:after="0"/>
      <w:outlineLvl w:val="4"/>
    </w:pPr>
    <w:rPr>
      <w:rFonts w:asciiTheme="majorHAnsi" w:eastAsiaTheme="majorEastAsia" w:hAnsiTheme="majorHAnsi" w:cstheme="majorBidi"/>
      <w:color w:val="356F96" w:themeColor="accent1" w:themeShade="BF"/>
    </w:rPr>
  </w:style>
  <w:style w:type="paragraph" w:styleId="Titre6">
    <w:name w:val="heading 6"/>
    <w:basedOn w:val="Normal"/>
    <w:next w:val="Normal"/>
    <w:link w:val="Titre6Car"/>
    <w:uiPriority w:val="9"/>
    <w:semiHidden/>
    <w:unhideWhenUsed/>
    <w:qFormat/>
    <w:rsid w:val="00766864"/>
    <w:pPr>
      <w:keepNext/>
      <w:keepLines/>
      <w:spacing w:before="40" w:after="0"/>
      <w:outlineLvl w:val="5"/>
    </w:pPr>
    <w:rPr>
      <w:rFonts w:asciiTheme="majorHAnsi" w:eastAsiaTheme="majorEastAsia" w:hAnsiTheme="majorHAnsi" w:cstheme="majorBidi"/>
      <w:color w:val="234A64" w:themeColor="accent1" w:themeShade="7F"/>
    </w:rPr>
  </w:style>
  <w:style w:type="paragraph" w:styleId="Titre7">
    <w:name w:val="heading 7"/>
    <w:basedOn w:val="Normal"/>
    <w:next w:val="Normal"/>
    <w:link w:val="Titre7Car"/>
    <w:uiPriority w:val="9"/>
    <w:semiHidden/>
    <w:unhideWhenUsed/>
    <w:qFormat/>
    <w:rsid w:val="00766864"/>
    <w:pPr>
      <w:keepNext/>
      <w:keepLines/>
      <w:spacing w:before="40" w:after="0"/>
      <w:outlineLvl w:val="6"/>
    </w:pPr>
    <w:rPr>
      <w:rFonts w:asciiTheme="majorHAnsi" w:eastAsiaTheme="majorEastAsia" w:hAnsiTheme="majorHAnsi" w:cstheme="majorBidi"/>
      <w:i/>
      <w:iCs/>
      <w:color w:val="234A64" w:themeColor="accent1" w:themeShade="7F"/>
    </w:rPr>
  </w:style>
  <w:style w:type="paragraph" w:styleId="Titre8">
    <w:name w:val="heading 8"/>
    <w:basedOn w:val="Normal"/>
    <w:next w:val="Normal"/>
    <w:link w:val="Titre8Car"/>
    <w:uiPriority w:val="9"/>
    <w:semiHidden/>
    <w:unhideWhenUsed/>
    <w:qFormat/>
    <w:rsid w:val="0076686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6686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0A16"/>
    <w:pPr>
      <w:tabs>
        <w:tab w:val="center" w:pos="4536"/>
        <w:tab w:val="right" w:pos="9072"/>
      </w:tabs>
      <w:spacing w:after="0" w:line="240" w:lineRule="auto"/>
    </w:pPr>
  </w:style>
  <w:style w:type="character" w:customStyle="1" w:styleId="En-tteCar">
    <w:name w:val="En-tête Car"/>
    <w:basedOn w:val="Policepardfaut"/>
    <w:link w:val="En-tte"/>
    <w:uiPriority w:val="99"/>
    <w:rsid w:val="00910A16"/>
  </w:style>
  <w:style w:type="paragraph" w:styleId="Pieddepage">
    <w:name w:val="footer"/>
    <w:basedOn w:val="Normal"/>
    <w:link w:val="PieddepageCar"/>
    <w:uiPriority w:val="99"/>
    <w:unhideWhenUsed/>
    <w:rsid w:val="005E4DC1"/>
    <w:rPr>
      <w:color w:val="000000"/>
      <w:sz w:val="16"/>
      <w:szCs w:val="16"/>
    </w:rPr>
  </w:style>
  <w:style w:type="character" w:customStyle="1" w:styleId="PieddepageCar">
    <w:name w:val="Pied de page Car"/>
    <w:basedOn w:val="Policepardfaut"/>
    <w:link w:val="Pieddepage"/>
    <w:uiPriority w:val="99"/>
    <w:rsid w:val="005E4DC1"/>
    <w:rPr>
      <w:rFonts w:ascii="ArialMT" w:hAnsi="ArialMT" w:cs="ArialMT"/>
      <w:color w:val="000000"/>
      <w:kern w:val="0"/>
      <w:sz w:val="16"/>
      <w:szCs w:val="16"/>
    </w:rPr>
  </w:style>
  <w:style w:type="paragraph" w:styleId="Titre">
    <w:name w:val="Title"/>
    <w:aliases w:val="Titre 1 de la note"/>
    <w:basedOn w:val="Normal"/>
    <w:next w:val="Normal"/>
    <w:link w:val="TitreCar"/>
    <w:uiPriority w:val="10"/>
    <w:qFormat/>
    <w:rsid w:val="009F6852"/>
    <w:pPr>
      <w:spacing w:before="160" w:line="240" w:lineRule="auto"/>
    </w:pPr>
    <w:rPr>
      <w:rFonts w:ascii="Arial-BoldMT" w:hAnsi="Arial-BoldMT" w:cs="Arial-BoldMT"/>
      <w:b/>
      <w:bCs/>
      <w:caps/>
      <w:color w:val="026EA6"/>
      <w:spacing w:val="-20"/>
      <w:sz w:val="44"/>
      <w:szCs w:val="44"/>
    </w:rPr>
  </w:style>
  <w:style w:type="character" w:customStyle="1" w:styleId="TitreCar">
    <w:name w:val="Titre Car"/>
    <w:aliases w:val="Titre 1 de la note Car"/>
    <w:basedOn w:val="Policepardfaut"/>
    <w:link w:val="Titre"/>
    <w:uiPriority w:val="10"/>
    <w:rsid w:val="009F6852"/>
    <w:rPr>
      <w:rFonts w:ascii="Arial-BoldMT" w:hAnsi="Arial-BoldMT" w:cs="Arial-BoldMT"/>
      <w:b/>
      <w:bCs/>
      <w:caps/>
      <w:color w:val="026EA6"/>
      <w:spacing w:val="-20"/>
      <w:kern w:val="0"/>
      <w:sz w:val="44"/>
      <w:szCs w:val="44"/>
    </w:rPr>
  </w:style>
  <w:style w:type="paragraph" w:styleId="Sous-titre">
    <w:name w:val="Subtitle"/>
    <w:aliases w:val="Titre 2 de la note"/>
    <w:basedOn w:val="Normal"/>
    <w:next w:val="Normal"/>
    <w:link w:val="Sous-titreCar"/>
    <w:uiPriority w:val="11"/>
    <w:qFormat/>
    <w:rsid w:val="009F6852"/>
    <w:pPr>
      <w:numPr>
        <w:ilvl w:val="1"/>
      </w:numPr>
      <w:autoSpaceDE w:val="0"/>
      <w:autoSpaceDN w:val="0"/>
      <w:adjustRightInd w:val="0"/>
      <w:spacing w:before="160" w:line="240" w:lineRule="auto"/>
    </w:pPr>
    <w:rPr>
      <w:rFonts w:ascii="Arial-BoldMT" w:hAnsi="Arial-BoldMT" w:cs="Arial-BoldMT"/>
      <w:b/>
      <w:bCs/>
      <w:caps/>
      <w:color w:val="026EA6"/>
      <w:sz w:val="36"/>
      <w:szCs w:val="36"/>
    </w:rPr>
  </w:style>
  <w:style w:type="character" w:customStyle="1" w:styleId="Sous-titreCar">
    <w:name w:val="Sous-titre Car"/>
    <w:aliases w:val="Titre 2 de la note Car"/>
    <w:basedOn w:val="Policepardfaut"/>
    <w:link w:val="Sous-titre"/>
    <w:uiPriority w:val="11"/>
    <w:rsid w:val="009F6852"/>
    <w:rPr>
      <w:rFonts w:ascii="Arial-BoldMT" w:hAnsi="Arial-BoldMT" w:cs="Arial-BoldMT"/>
      <w:b/>
      <w:bCs/>
      <w:caps/>
      <w:color w:val="026EA6"/>
      <w:kern w:val="0"/>
      <w:sz w:val="36"/>
      <w:szCs w:val="36"/>
    </w:rPr>
  </w:style>
  <w:style w:type="character" w:customStyle="1" w:styleId="Titre1Car">
    <w:name w:val="Titre 1 Car"/>
    <w:basedOn w:val="Policepardfaut"/>
    <w:link w:val="Titre1"/>
    <w:uiPriority w:val="9"/>
    <w:rsid w:val="0010720B"/>
    <w:rPr>
      <w:rFonts w:ascii="Arial-BoldMT" w:hAnsi="Arial-BoldMT" w:cs="Arial-BoldMT"/>
      <w:b/>
      <w:bCs/>
      <w:smallCaps/>
      <w:color w:val="026EA6"/>
      <w:kern w:val="0"/>
      <w:sz w:val="28"/>
      <w:szCs w:val="28"/>
      <w:lang w:val="en-US"/>
    </w:rPr>
  </w:style>
  <w:style w:type="character" w:customStyle="1" w:styleId="Titre2Car">
    <w:name w:val="Titre 2 Car"/>
    <w:aliases w:val="Titre A Car,B Car,C Car"/>
    <w:basedOn w:val="Policepardfaut"/>
    <w:link w:val="Titre2"/>
    <w:uiPriority w:val="9"/>
    <w:rsid w:val="0010720B"/>
    <w:rPr>
      <w:rFonts w:ascii="ArialMT" w:hAnsi="ArialMT" w:cs="ArialMT"/>
      <w:b/>
      <w:bCs/>
      <w:smallCaps/>
      <w:noProof/>
      <w:color w:val="026EA6"/>
      <w:sz w:val="24"/>
      <w:szCs w:val="24"/>
    </w:rPr>
  </w:style>
  <w:style w:type="character" w:styleId="Accentuationlgre">
    <w:name w:val="Subtle Emphasis"/>
    <w:aliases w:val="Titre 3 de la note"/>
    <w:uiPriority w:val="19"/>
    <w:qFormat/>
    <w:rsid w:val="00F87B3C"/>
    <w:rPr>
      <w:rFonts w:ascii="Arial-BoldMT" w:hAnsi="Arial-BoldMT" w:cs="Arial-BoldMT"/>
      <w:b/>
      <w:bCs/>
      <w:color w:val="026EA6"/>
      <w:sz w:val="32"/>
      <w:szCs w:val="32"/>
    </w:rPr>
  </w:style>
  <w:style w:type="paragraph" w:styleId="Paragraphedeliste">
    <w:name w:val="List Paragraph"/>
    <w:basedOn w:val="Normal"/>
    <w:link w:val="ParagraphedelisteCar"/>
    <w:uiPriority w:val="34"/>
    <w:rsid w:val="00910A16"/>
    <w:pPr>
      <w:ind w:left="720"/>
      <w:contextualSpacing/>
    </w:pPr>
  </w:style>
  <w:style w:type="paragraph" w:customStyle="1" w:styleId="pucebleu">
    <w:name w:val="puce bleu"/>
    <w:basedOn w:val="Paragraphedeliste"/>
    <w:link w:val="pucebleuCar"/>
    <w:qFormat/>
    <w:rsid w:val="00F87B3C"/>
    <w:pPr>
      <w:numPr>
        <w:numId w:val="1"/>
      </w:numPr>
      <w:spacing w:after="120"/>
      <w:ind w:left="425" w:hanging="425"/>
    </w:pPr>
    <w:rPr>
      <w:rFonts w:cs="Calibri"/>
      <w:noProof/>
      <w:szCs w:val="22"/>
    </w:rPr>
  </w:style>
  <w:style w:type="character" w:customStyle="1" w:styleId="ParagraphedelisteCar">
    <w:name w:val="Paragraphe de liste Car"/>
    <w:basedOn w:val="Policepardfaut"/>
    <w:link w:val="Paragraphedeliste"/>
    <w:uiPriority w:val="34"/>
    <w:rsid w:val="00910A16"/>
    <w:rPr>
      <w:rFonts w:ascii="ArialMT" w:hAnsi="ArialMT" w:cs="ArialMT"/>
      <w:kern w:val="0"/>
      <w:sz w:val="20"/>
      <w:szCs w:val="20"/>
    </w:rPr>
  </w:style>
  <w:style w:type="character" w:customStyle="1" w:styleId="pucebleuCar">
    <w:name w:val="puce bleu Car"/>
    <w:basedOn w:val="ParagraphedelisteCar"/>
    <w:link w:val="pucebleu"/>
    <w:rsid w:val="00F87B3C"/>
    <w:rPr>
      <w:rFonts w:ascii="Calibri" w:hAnsi="Calibri" w:cs="Calibri"/>
      <w:noProof/>
      <w:kern w:val="0"/>
      <w:sz w:val="20"/>
      <w:szCs w:val="20"/>
    </w:rPr>
  </w:style>
  <w:style w:type="paragraph" w:customStyle="1" w:styleId="pucenoir">
    <w:name w:val="puce noir"/>
    <w:basedOn w:val="Paragraphedeliste"/>
    <w:qFormat/>
    <w:rsid w:val="00F87B3C"/>
    <w:pPr>
      <w:numPr>
        <w:numId w:val="2"/>
      </w:numPr>
      <w:spacing w:after="0"/>
      <w:ind w:left="851" w:hanging="284"/>
    </w:pPr>
    <w:rPr>
      <w:noProof/>
      <w:szCs w:val="22"/>
    </w:rPr>
  </w:style>
  <w:style w:type="paragraph" w:customStyle="1" w:styleId="Puce1">
    <w:name w:val="Puce 1"/>
    <w:basedOn w:val="Normal"/>
    <w:link w:val="Puce1Car"/>
    <w:rsid w:val="00910A16"/>
    <w:pPr>
      <w:numPr>
        <w:numId w:val="3"/>
      </w:numPr>
    </w:pPr>
  </w:style>
  <w:style w:type="paragraph" w:customStyle="1" w:styleId="pucetiret">
    <w:name w:val="puce tiret"/>
    <w:basedOn w:val="Puce1"/>
    <w:link w:val="pucetiretCar"/>
    <w:qFormat/>
    <w:rsid w:val="00F87B3C"/>
    <w:pPr>
      <w:spacing w:after="0"/>
      <w:ind w:left="851" w:hanging="284"/>
    </w:pPr>
    <w:rPr>
      <w:noProof/>
      <w:lang w:val="en-GB"/>
    </w:rPr>
  </w:style>
  <w:style w:type="character" w:customStyle="1" w:styleId="Puce1Car">
    <w:name w:val="Puce 1 Car"/>
    <w:basedOn w:val="Policepardfaut"/>
    <w:link w:val="Puce1"/>
    <w:rsid w:val="00910A16"/>
    <w:rPr>
      <w:rFonts w:ascii="Calibri" w:hAnsi="Calibri" w:cs="ArialMT"/>
      <w:kern w:val="0"/>
      <w:szCs w:val="20"/>
    </w:rPr>
  </w:style>
  <w:style w:type="character" w:customStyle="1" w:styleId="pucetiretCar">
    <w:name w:val="puce tiret Car"/>
    <w:basedOn w:val="Puce1Car"/>
    <w:link w:val="pucetiret"/>
    <w:rsid w:val="00F87B3C"/>
    <w:rPr>
      <w:rFonts w:ascii="Calibri" w:hAnsi="Calibri" w:cs="ArialMT"/>
      <w:noProof/>
      <w:kern w:val="0"/>
      <w:szCs w:val="20"/>
      <w:lang w:val="en-GB"/>
    </w:rPr>
  </w:style>
  <w:style w:type="character" w:styleId="Lienhypertexte">
    <w:name w:val="Hyperlink"/>
    <w:basedOn w:val="Policepardfaut"/>
    <w:uiPriority w:val="99"/>
    <w:unhideWhenUsed/>
    <w:rsid w:val="005E4DC1"/>
    <w:rPr>
      <w:color w:val="0563C1" w:themeColor="hyperlink"/>
      <w:u w:val="single"/>
    </w:rPr>
  </w:style>
  <w:style w:type="character" w:customStyle="1" w:styleId="Mentionnonrsolue1">
    <w:name w:val="Mention non résolue1"/>
    <w:basedOn w:val="Policepardfaut"/>
    <w:uiPriority w:val="99"/>
    <w:semiHidden/>
    <w:unhideWhenUsed/>
    <w:rsid w:val="005E4DC1"/>
    <w:rPr>
      <w:color w:val="605E5C"/>
      <w:shd w:val="clear" w:color="auto" w:fill="E1DFDD"/>
    </w:rPr>
  </w:style>
  <w:style w:type="character" w:styleId="Titredulivre">
    <w:name w:val="Book Title"/>
    <w:basedOn w:val="Policepardfaut"/>
    <w:uiPriority w:val="33"/>
    <w:rsid w:val="005E4DC1"/>
    <w:rPr>
      <w:b/>
      <w:bCs/>
      <w:i/>
      <w:iCs/>
      <w:spacing w:val="5"/>
    </w:rPr>
  </w:style>
  <w:style w:type="table" w:styleId="Grilledutableau">
    <w:name w:val="Table Grid"/>
    <w:basedOn w:val="TableauNormal"/>
    <w:rsid w:val="0038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puceencadr">
    <w:name w:val="Texte puce encadré"/>
    <w:basedOn w:val="pucebleu"/>
    <w:rsid w:val="008B61DD"/>
    <w:pPr>
      <w:spacing w:before="100"/>
      <w:ind w:left="454" w:right="170"/>
    </w:pPr>
    <w:rPr>
      <w:color w:val="FFFFFF" w:themeColor="background1"/>
    </w:rPr>
  </w:style>
  <w:style w:type="paragraph" w:customStyle="1" w:styleId="Textepucenoirencadr">
    <w:name w:val="Texte puce noir encadré"/>
    <w:basedOn w:val="Textepuceencadr"/>
    <w:rsid w:val="00131AA4"/>
    <w:pPr>
      <w:spacing w:after="0" w:line="240" w:lineRule="auto"/>
    </w:pPr>
  </w:style>
  <w:style w:type="paragraph" w:customStyle="1" w:styleId="texteblancencadrepucenoir">
    <w:name w:val="texte blanc encadre puce noir"/>
    <w:basedOn w:val="pucenoir"/>
    <w:rsid w:val="00131AA4"/>
    <w:pPr>
      <w:spacing w:after="100" w:line="240" w:lineRule="auto"/>
      <w:ind w:left="527" w:right="170"/>
    </w:pPr>
    <w:rPr>
      <w:color w:val="FFFFFF" w:themeColor="background1"/>
    </w:rPr>
  </w:style>
  <w:style w:type="paragraph" w:customStyle="1" w:styleId="texteencadrpucenoir">
    <w:name w:val="texte encadré puce noir"/>
    <w:basedOn w:val="texteblancencadrepucenoir"/>
    <w:rsid w:val="00131AA4"/>
    <w:rPr>
      <w:color w:val="000000" w:themeColor="text1"/>
    </w:rPr>
  </w:style>
  <w:style w:type="character" w:customStyle="1" w:styleId="aagras">
    <w:name w:val="aa_gras"/>
    <w:basedOn w:val="Policepardfaut"/>
    <w:uiPriority w:val="1"/>
    <w:qFormat/>
    <w:rsid w:val="002E5C9F"/>
    <w:rPr>
      <w:b/>
    </w:rPr>
  </w:style>
  <w:style w:type="paragraph" w:customStyle="1" w:styleId="Rfrencenote">
    <w:name w:val="Référence note"/>
    <w:basedOn w:val="Normal"/>
    <w:link w:val="RfrencenoteCar"/>
    <w:qFormat/>
    <w:rsid w:val="00D05A9E"/>
    <w:pPr>
      <w:autoSpaceDE w:val="0"/>
      <w:autoSpaceDN w:val="0"/>
      <w:adjustRightInd w:val="0"/>
      <w:spacing w:after="0" w:line="240" w:lineRule="auto"/>
      <w:jc w:val="right"/>
    </w:pPr>
    <w:rPr>
      <w:rFonts w:ascii="Arial-BoldMT" w:hAnsi="Arial-BoldMT" w:cs="Arial-BoldMT"/>
      <w:b/>
      <w:bCs/>
      <w:color w:val="4F94C1" w:themeColor="accent1"/>
      <w:sz w:val="13"/>
      <w:szCs w:val="13"/>
    </w:rPr>
  </w:style>
  <w:style w:type="character" w:customStyle="1" w:styleId="RfrencenoteCar">
    <w:name w:val="Référence note Car"/>
    <w:basedOn w:val="Policepardfaut"/>
    <w:link w:val="Rfrencenote"/>
    <w:rsid w:val="00D05A9E"/>
    <w:rPr>
      <w:rFonts w:ascii="Arial-BoldMT" w:hAnsi="Arial-BoldMT" w:cs="Arial-BoldMT"/>
      <w:b/>
      <w:bCs/>
      <w:color w:val="4F94C1" w:themeColor="accent1"/>
      <w:kern w:val="0"/>
      <w:sz w:val="13"/>
      <w:szCs w:val="13"/>
    </w:rPr>
  </w:style>
  <w:style w:type="paragraph" w:customStyle="1" w:styleId="Pucecarr">
    <w:name w:val="Puce carré"/>
    <w:basedOn w:val="pucetiret"/>
    <w:link w:val="PucecarrCar"/>
    <w:qFormat/>
    <w:rsid w:val="00F87B3C"/>
    <w:pPr>
      <w:numPr>
        <w:numId w:val="4"/>
      </w:numPr>
      <w:ind w:left="851" w:hanging="284"/>
    </w:pPr>
    <w:rPr>
      <w:lang w:val="fr-FR"/>
    </w:rPr>
  </w:style>
  <w:style w:type="character" w:customStyle="1" w:styleId="PucecarrCar">
    <w:name w:val="Puce carré Car"/>
    <w:basedOn w:val="pucetiretCar"/>
    <w:link w:val="Pucecarr"/>
    <w:rsid w:val="00F87B3C"/>
    <w:rPr>
      <w:rFonts w:ascii="Calibri" w:hAnsi="Calibri" w:cs="ArialMT"/>
      <w:noProof/>
      <w:kern w:val="0"/>
      <w:szCs w:val="20"/>
      <w:lang w:val="en-GB"/>
    </w:rPr>
  </w:style>
  <w:style w:type="paragraph" w:styleId="NormalWeb">
    <w:name w:val="Normal (Web)"/>
    <w:basedOn w:val="Normal"/>
    <w:uiPriority w:val="99"/>
    <w:semiHidden/>
    <w:unhideWhenUsed/>
    <w:rsid w:val="00D05A9E"/>
    <w:pPr>
      <w:spacing w:before="100" w:beforeAutospacing="1" w:after="100" w:afterAutospacing="1" w:line="240" w:lineRule="auto"/>
      <w:jc w:val="left"/>
    </w:pPr>
    <w:rPr>
      <w:rFonts w:ascii="Aptos" w:hAnsi="Aptos" w:cs="Aptos"/>
      <w:sz w:val="24"/>
      <w:szCs w:val="24"/>
      <w:lang w:eastAsia="fr-FR"/>
      <w14:ligatures w14:val="none"/>
    </w:rPr>
  </w:style>
  <w:style w:type="paragraph" w:styleId="Notedebasdepage">
    <w:name w:val="footnote text"/>
    <w:basedOn w:val="Normal"/>
    <w:link w:val="NotedebasdepageCar"/>
    <w:uiPriority w:val="99"/>
    <w:unhideWhenUsed/>
    <w:rsid w:val="005B4F39"/>
    <w:pPr>
      <w:spacing w:after="0" w:line="240" w:lineRule="auto"/>
    </w:pPr>
    <w:rPr>
      <w:sz w:val="20"/>
    </w:rPr>
  </w:style>
  <w:style w:type="character" w:customStyle="1" w:styleId="NotedebasdepageCar">
    <w:name w:val="Note de bas de page Car"/>
    <w:basedOn w:val="Policepardfaut"/>
    <w:link w:val="Notedebasdepage"/>
    <w:uiPriority w:val="99"/>
    <w:rsid w:val="005B4F39"/>
    <w:rPr>
      <w:rFonts w:ascii="Calibri" w:hAnsi="Calibri" w:cs="ArialMT"/>
      <w:kern w:val="0"/>
      <w:sz w:val="20"/>
      <w:szCs w:val="20"/>
    </w:rPr>
  </w:style>
  <w:style w:type="character" w:styleId="Appelnotedebasdep">
    <w:name w:val="footnote reference"/>
    <w:basedOn w:val="Policepardfaut"/>
    <w:uiPriority w:val="99"/>
    <w:semiHidden/>
    <w:unhideWhenUsed/>
    <w:rsid w:val="005B4F39"/>
    <w:rPr>
      <w:vertAlign w:val="superscript"/>
    </w:rPr>
  </w:style>
  <w:style w:type="character" w:customStyle="1" w:styleId="Titre3Car">
    <w:name w:val="Titre 3 Car"/>
    <w:basedOn w:val="Policepardfaut"/>
    <w:link w:val="Titre3"/>
    <w:uiPriority w:val="9"/>
    <w:rsid w:val="00F87B3C"/>
    <w:rPr>
      <w:rFonts w:asciiTheme="majorHAnsi" w:eastAsiaTheme="majorEastAsia" w:hAnsiTheme="majorHAnsi" w:cstheme="majorBidi"/>
      <w:i/>
      <w:iCs/>
      <w:noProof/>
      <w:color w:val="026EA6"/>
      <w:kern w:val="0"/>
    </w:rPr>
  </w:style>
  <w:style w:type="paragraph" w:customStyle="1" w:styleId="Generalcomments-Observationsgnrales">
    <w:name w:val="General comments - Observations générales"/>
    <w:basedOn w:val="Titre1"/>
    <w:link w:val="Generalcomments-ObservationsgnralesCar"/>
    <w:qFormat/>
    <w:rsid w:val="00623E0A"/>
    <w:pPr>
      <w:numPr>
        <w:numId w:val="0"/>
      </w:numPr>
    </w:pPr>
  </w:style>
  <w:style w:type="character" w:customStyle="1" w:styleId="Generalcomments-ObservationsgnralesCar">
    <w:name w:val="General comments - Observations générales Car"/>
    <w:basedOn w:val="Titre1Car"/>
    <w:link w:val="Generalcomments-Observationsgnrales"/>
    <w:rsid w:val="00623E0A"/>
    <w:rPr>
      <w:rFonts w:ascii="Arial-BoldMT" w:hAnsi="Arial-BoldMT" w:cs="Arial-BoldMT"/>
      <w:b/>
      <w:bCs/>
      <w:smallCaps/>
      <w:color w:val="026EA6"/>
      <w:kern w:val="0"/>
      <w:sz w:val="28"/>
      <w:szCs w:val="28"/>
      <w:lang w:val="en-US"/>
    </w:rPr>
  </w:style>
  <w:style w:type="paragraph" w:customStyle="1" w:styleId="puce2">
    <w:name w:val="puce 2"/>
    <w:basedOn w:val="Paragraphedeliste"/>
    <w:link w:val="puce2Car"/>
    <w:qFormat/>
    <w:rsid w:val="00F87B3C"/>
    <w:pPr>
      <w:numPr>
        <w:numId w:val="5"/>
      </w:numPr>
      <w:spacing w:after="120"/>
      <w:ind w:left="425" w:hanging="425"/>
    </w:pPr>
  </w:style>
  <w:style w:type="character" w:customStyle="1" w:styleId="puce2Car">
    <w:name w:val="puce 2 Car"/>
    <w:basedOn w:val="ParagraphedelisteCar"/>
    <w:link w:val="puce2"/>
    <w:rsid w:val="00F87B3C"/>
    <w:rPr>
      <w:rFonts w:ascii="Calibri" w:hAnsi="Calibri" w:cs="ArialMT"/>
      <w:kern w:val="0"/>
      <w:sz w:val="20"/>
      <w:szCs w:val="20"/>
    </w:rPr>
  </w:style>
  <w:style w:type="character" w:customStyle="1" w:styleId="Titre4Car">
    <w:name w:val="Titre 4 Car"/>
    <w:basedOn w:val="Policepardfaut"/>
    <w:link w:val="Titre4"/>
    <w:uiPriority w:val="9"/>
    <w:rsid w:val="00F362B6"/>
    <w:rPr>
      <w:rFonts w:asciiTheme="majorHAnsi" w:eastAsiaTheme="majorEastAsia" w:hAnsiTheme="majorHAnsi" w:cstheme="majorBidi"/>
      <w:i/>
      <w:iCs/>
      <w:color w:val="356F96" w:themeColor="accent1" w:themeShade="BF"/>
      <w:kern w:val="0"/>
      <w:szCs w:val="20"/>
    </w:rPr>
  </w:style>
  <w:style w:type="character" w:customStyle="1" w:styleId="Titre5Car">
    <w:name w:val="Titre 5 Car"/>
    <w:basedOn w:val="Policepardfaut"/>
    <w:link w:val="Titre5"/>
    <w:uiPriority w:val="9"/>
    <w:semiHidden/>
    <w:rsid w:val="00766864"/>
    <w:rPr>
      <w:rFonts w:asciiTheme="majorHAnsi" w:eastAsiaTheme="majorEastAsia" w:hAnsiTheme="majorHAnsi" w:cstheme="majorBidi"/>
      <w:color w:val="356F96" w:themeColor="accent1" w:themeShade="BF"/>
      <w:kern w:val="0"/>
      <w:szCs w:val="20"/>
    </w:rPr>
  </w:style>
  <w:style w:type="character" w:customStyle="1" w:styleId="Titre6Car">
    <w:name w:val="Titre 6 Car"/>
    <w:basedOn w:val="Policepardfaut"/>
    <w:link w:val="Titre6"/>
    <w:uiPriority w:val="9"/>
    <w:semiHidden/>
    <w:rsid w:val="00766864"/>
    <w:rPr>
      <w:rFonts w:asciiTheme="majorHAnsi" w:eastAsiaTheme="majorEastAsia" w:hAnsiTheme="majorHAnsi" w:cstheme="majorBidi"/>
      <w:color w:val="234A64" w:themeColor="accent1" w:themeShade="7F"/>
      <w:kern w:val="0"/>
      <w:szCs w:val="20"/>
    </w:rPr>
  </w:style>
  <w:style w:type="character" w:customStyle="1" w:styleId="Titre7Car">
    <w:name w:val="Titre 7 Car"/>
    <w:basedOn w:val="Policepardfaut"/>
    <w:link w:val="Titre7"/>
    <w:uiPriority w:val="9"/>
    <w:semiHidden/>
    <w:rsid w:val="00766864"/>
    <w:rPr>
      <w:rFonts w:asciiTheme="majorHAnsi" w:eastAsiaTheme="majorEastAsia" w:hAnsiTheme="majorHAnsi" w:cstheme="majorBidi"/>
      <w:i/>
      <w:iCs/>
      <w:color w:val="234A64" w:themeColor="accent1" w:themeShade="7F"/>
      <w:kern w:val="0"/>
      <w:szCs w:val="20"/>
    </w:rPr>
  </w:style>
  <w:style w:type="character" w:customStyle="1" w:styleId="Titre8Car">
    <w:name w:val="Titre 8 Car"/>
    <w:basedOn w:val="Policepardfaut"/>
    <w:link w:val="Titre8"/>
    <w:uiPriority w:val="9"/>
    <w:semiHidden/>
    <w:rsid w:val="00766864"/>
    <w:rPr>
      <w:rFonts w:asciiTheme="majorHAnsi" w:eastAsiaTheme="majorEastAsia" w:hAnsiTheme="majorHAnsi" w:cstheme="majorBidi"/>
      <w:color w:val="272727" w:themeColor="text1" w:themeTint="D8"/>
      <w:kern w:val="0"/>
      <w:sz w:val="21"/>
      <w:szCs w:val="21"/>
    </w:rPr>
  </w:style>
  <w:style w:type="character" w:customStyle="1" w:styleId="Titre9Car">
    <w:name w:val="Titre 9 Car"/>
    <w:basedOn w:val="Policepardfaut"/>
    <w:link w:val="Titre9"/>
    <w:uiPriority w:val="9"/>
    <w:semiHidden/>
    <w:rsid w:val="00766864"/>
    <w:rPr>
      <w:rFonts w:asciiTheme="majorHAnsi" w:eastAsiaTheme="majorEastAsia" w:hAnsiTheme="majorHAnsi" w:cstheme="majorBidi"/>
      <w:i/>
      <w:iCs/>
      <w:color w:val="272727" w:themeColor="text1" w:themeTint="D8"/>
      <w:kern w:val="0"/>
      <w:sz w:val="21"/>
      <w:szCs w:val="21"/>
    </w:rPr>
  </w:style>
  <w:style w:type="paragraph" w:customStyle="1" w:styleId="Annexes">
    <w:name w:val="Annexe(s)"/>
    <w:basedOn w:val="Generalcomments-Observationsgnrales"/>
    <w:qFormat/>
    <w:rsid w:val="009535CD"/>
    <w:pPr>
      <w:jc w:val="center"/>
    </w:pPr>
    <w:rPr>
      <w:noProof/>
      <w:lang w:val="fr-FR"/>
    </w:rPr>
  </w:style>
  <w:style w:type="paragraph" w:customStyle="1" w:styleId="Annexessous-titre1">
    <w:name w:val="Annexe(s) sous-titre 1"/>
    <w:basedOn w:val="Titre2"/>
    <w:qFormat/>
    <w:rsid w:val="009535CD"/>
    <w:pPr>
      <w:numPr>
        <w:numId w:val="0"/>
      </w:numPr>
    </w:pPr>
  </w:style>
  <w:style w:type="paragraph" w:customStyle="1" w:styleId="Annexessous-titre3">
    <w:name w:val="Annexe(s) sous-titre 3"/>
    <w:basedOn w:val="Titre3"/>
    <w:qFormat/>
    <w:rsid w:val="00445155"/>
  </w:style>
  <w:style w:type="paragraph" w:customStyle="1" w:styleId="descriptifAMAFI">
    <w:name w:val="descriptif AMAFI"/>
    <w:basedOn w:val="Normal"/>
    <w:link w:val="descriptifAMAFICar"/>
    <w:uiPriority w:val="1"/>
    <w:qFormat/>
    <w:rsid w:val="002A093E"/>
    <w:rPr>
      <w:rFonts w:cs="Calibri"/>
      <w:i/>
      <w:noProof/>
      <w:szCs w:val="22"/>
      <w:lang w:eastAsia="fr-FR"/>
      <w14:ligatures w14:val="none"/>
    </w:rPr>
  </w:style>
  <w:style w:type="paragraph" w:styleId="Lgende">
    <w:name w:val="caption"/>
    <w:basedOn w:val="Normal"/>
    <w:next w:val="Normal"/>
    <w:uiPriority w:val="35"/>
    <w:unhideWhenUsed/>
    <w:qFormat/>
    <w:rsid w:val="00766864"/>
    <w:pPr>
      <w:spacing w:after="200" w:line="240" w:lineRule="auto"/>
    </w:pPr>
    <w:rPr>
      <w:i/>
      <w:iCs/>
      <w:color w:val="44546A" w:themeColor="text2"/>
      <w:sz w:val="18"/>
      <w:szCs w:val="18"/>
    </w:rPr>
  </w:style>
  <w:style w:type="character" w:customStyle="1" w:styleId="descriptifAMAFICar">
    <w:name w:val="descriptif AMAFI Car"/>
    <w:basedOn w:val="Policepardfaut"/>
    <w:link w:val="descriptifAMAFI"/>
    <w:rsid w:val="002A093E"/>
    <w:rPr>
      <w:rFonts w:ascii="Calibri" w:hAnsi="Calibri" w:cs="Calibri"/>
      <w:i/>
      <w:noProof/>
      <w:kern w:val="0"/>
      <w:lang w:eastAsia="fr-FR"/>
      <w14:ligatures w14:val="none"/>
    </w:rPr>
  </w:style>
  <w:style w:type="paragraph" w:customStyle="1" w:styleId="soustitreduchapitre2">
    <w:name w:val="sous titre du chapitre 2"/>
    <w:basedOn w:val="Titre2"/>
    <w:link w:val="soustitreduchapitre2Car"/>
    <w:qFormat/>
    <w:rsid w:val="002E76E2"/>
    <w:pPr>
      <w:numPr>
        <w:ilvl w:val="0"/>
        <w:numId w:val="0"/>
      </w:numPr>
    </w:pPr>
  </w:style>
  <w:style w:type="character" w:customStyle="1" w:styleId="soustitreduchapitre2Car">
    <w:name w:val="sous titre du chapitre 2 Car"/>
    <w:basedOn w:val="Titre2Car"/>
    <w:link w:val="soustitreduchapitre2"/>
    <w:rsid w:val="002E76E2"/>
    <w:rPr>
      <w:rFonts w:ascii="ArialMT" w:hAnsi="ArialMT" w:cs="ArialMT"/>
      <w:b/>
      <w:bCs/>
      <w:smallCaps/>
      <w:noProof/>
      <w:color w:val="026EA6"/>
      <w:sz w:val="24"/>
      <w:szCs w:val="24"/>
    </w:rPr>
  </w:style>
  <w:style w:type="character" w:styleId="Marquedecommentaire">
    <w:name w:val="annotation reference"/>
    <w:basedOn w:val="Policepardfaut"/>
    <w:uiPriority w:val="99"/>
    <w:semiHidden/>
    <w:unhideWhenUsed/>
    <w:rsid w:val="00D97EDB"/>
    <w:rPr>
      <w:sz w:val="16"/>
      <w:szCs w:val="16"/>
    </w:rPr>
  </w:style>
  <w:style w:type="paragraph" w:styleId="Commentaire">
    <w:name w:val="annotation text"/>
    <w:basedOn w:val="Normal"/>
    <w:link w:val="CommentaireCar"/>
    <w:uiPriority w:val="99"/>
    <w:unhideWhenUsed/>
    <w:rsid w:val="00D97EDB"/>
    <w:pPr>
      <w:spacing w:line="240" w:lineRule="auto"/>
    </w:pPr>
    <w:rPr>
      <w:sz w:val="20"/>
    </w:rPr>
  </w:style>
  <w:style w:type="character" w:customStyle="1" w:styleId="CommentaireCar">
    <w:name w:val="Commentaire Car"/>
    <w:basedOn w:val="Policepardfaut"/>
    <w:link w:val="Commentaire"/>
    <w:uiPriority w:val="99"/>
    <w:rsid w:val="00D97EDB"/>
    <w:rPr>
      <w:rFonts w:ascii="Calibri" w:hAnsi="Calibri" w:cs="ArialMT"/>
      <w:kern w:val="0"/>
      <w:sz w:val="20"/>
      <w:szCs w:val="20"/>
    </w:rPr>
  </w:style>
  <w:style w:type="paragraph" w:styleId="Objetducommentaire">
    <w:name w:val="annotation subject"/>
    <w:basedOn w:val="Commentaire"/>
    <w:next w:val="Commentaire"/>
    <w:link w:val="ObjetducommentaireCar"/>
    <w:uiPriority w:val="99"/>
    <w:semiHidden/>
    <w:unhideWhenUsed/>
    <w:rsid w:val="00D97EDB"/>
    <w:rPr>
      <w:b/>
      <w:bCs/>
    </w:rPr>
  </w:style>
  <w:style w:type="character" w:customStyle="1" w:styleId="ObjetducommentaireCar">
    <w:name w:val="Objet du commentaire Car"/>
    <w:basedOn w:val="CommentaireCar"/>
    <w:link w:val="Objetducommentaire"/>
    <w:uiPriority w:val="99"/>
    <w:semiHidden/>
    <w:rsid w:val="00D97EDB"/>
    <w:rPr>
      <w:rFonts w:ascii="Calibri" w:hAnsi="Calibri" w:cs="ArialMT"/>
      <w:b/>
      <w:bCs/>
      <w:kern w:val="0"/>
      <w:sz w:val="20"/>
      <w:szCs w:val="20"/>
    </w:rPr>
  </w:style>
  <w:style w:type="paragraph" w:customStyle="1" w:styleId="1titre">
    <w:name w:val="1. titre"/>
    <w:basedOn w:val="Paragraphedeliste"/>
    <w:link w:val="1titreCar"/>
    <w:rsid w:val="007A46D2"/>
    <w:pPr>
      <w:numPr>
        <w:numId w:val="11"/>
      </w:numPr>
    </w:pPr>
    <w:rPr>
      <w:lang w:val="en-GB"/>
    </w:rPr>
  </w:style>
  <w:style w:type="character" w:customStyle="1" w:styleId="1titreCar">
    <w:name w:val="1. titre Car"/>
    <w:basedOn w:val="ParagraphedelisteCar"/>
    <w:link w:val="1titre"/>
    <w:rsid w:val="007A46D2"/>
    <w:rPr>
      <w:rFonts w:ascii="Calibri" w:hAnsi="Calibri" w:cs="ArialMT"/>
      <w:kern w:val="0"/>
      <w:sz w:val="20"/>
      <w:szCs w:val="20"/>
      <w:lang w:val="en-GB"/>
    </w:rPr>
  </w:style>
  <w:style w:type="paragraph" w:customStyle="1" w:styleId="11Chapitre">
    <w:name w:val="1.1 Chapitre"/>
    <w:basedOn w:val="Paragraphedeliste"/>
    <w:link w:val="11ChapitreCar"/>
    <w:rsid w:val="007A46D2"/>
    <w:pPr>
      <w:numPr>
        <w:numId w:val="10"/>
      </w:numPr>
    </w:pPr>
    <w:rPr>
      <w:lang w:val="en-GB"/>
    </w:rPr>
  </w:style>
  <w:style w:type="character" w:customStyle="1" w:styleId="11ChapitreCar">
    <w:name w:val="1.1 Chapitre Car"/>
    <w:basedOn w:val="ParagraphedelisteCar"/>
    <w:link w:val="11Chapitre"/>
    <w:rsid w:val="007A46D2"/>
    <w:rPr>
      <w:rFonts w:ascii="Calibri" w:hAnsi="Calibri" w:cs="ArialMT"/>
      <w:kern w:val="0"/>
      <w:sz w:val="20"/>
      <w:szCs w:val="20"/>
      <w:lang w:val="en-GB"/>
    </w:rPr>
  </w:style>
  <w:style w:type="paragraph" w:customStyle="1" w:styleId="111Section">
    <w:name w:val="1.1.1 Section"/>
    <w:basedOn w:val="Paragraphedeliste"/>
    <w:link w:val="111SectionCar"/>
    <w:rsid w:val="007A46D2"/>
    <w:pPr>
      <w:numPr>
        <w:ilvl w:val="2"/>
        <w:numId w:val="11"/>
      </w:numPr>
    </w:pPr>
    <w:rPr>
      <w:lang w:val="en-GB"/>
    </w:rPr>
  </w:style>
  <w:style w:type="character" w:customStyle="1" w:styleId="111SectionCar">
    <w:name w:val="1.1.1 Section Car"/>
    <w:basedOn w:val="ParagraphedelisteCar"/>
    <w:link w:val="111Section"/>
    <w:rsid w:val="007A46D2"/>
    <w:rPr>
      <w:rFonts w:ascii="Calibri" w:hAnsi="Calibri" w:cs="ArialMT"/>
      <w:kern w:val="0"/>
      <w:sz w:val="20"/>
      <w:szCs w:val="20"/>
      <w:lang w:val="en-GB"/>
    </w:rPr>
  </w:style>
  <w:style w:type="paragraph" w:customStyle="1" w:styleId="Soustitre">
    <w:name w:val="Sous titre"/>
    <w:basedOn w:val="Titre2"/>
    <w:link w:val="SoustitreCar"/>
    <w:rsid w:val="00895EEA"/>
    <w:pPr>
      <w:spacing w:before="480"/>
      <w:ind w:left="714" w:hanging="357"/>
    </w:pPr>
  </w:style>
  <w:style w:type="character" w:customStyle="1" w:styleId="SoustitreCar">
    <w:name w:val="Sous titre Car"/>
    <w:basedOn w:val="Titre2Car"/>
    <w:link w:val="Soustitre"/>
    <w:rsid w:val="00895EEA"/>
    <w:rPr>
      <w:rFonts w:ascii="ArialMT" w:hAnsi="ArialMT" w:cs="ArialMT"/>
      <w:b/>
      <w:bCs/>
      <w:smallCaps/>
      <w:noProof/>
      <w:color w:val="026EA6"/>
      <w:sz w:val="24"/>
      <w:szCs w:val="24"/>
    </w:rPr>
  </w:style>
  <w:style w:type="paragraph" w:customStyle="1" w:styleId="Soustitre1">
    <w:name w:val="Sous titre 1"/>
    <w:basedOn w:val="Paragraphedeliste"/>
    <w:link w:val="Soustitre1Car"/>
    <w:qFormat/>
    <w:rsid w:val="00313A85"/>
    <w:pPr>
      <w:numPr>
        <w:numId w:val="7"/>
      </w:numPr>
      <w:spacing w:before="480"/>
      <w:ind w:left="851" w:hanging="284"/>
    </w:pPr>
    <w:rPr>
      <w:b/>
      <w:bCs/>
      <w:color w:val="026EA6"/>
    </w:rPr>
  </w:style>
  <w:style w:type="character" w:customStyle="1" w:styleId="Soustitre1Car">
    <w:name w:val="Sous titre 1 Car"/>
    <w:basedOn w:val="ParagraphedelisteCar"/>
    <w:link w:val="Soustitre1"/>
    <w:rsid w:val="00313A85"/>
    <w:rPr>
      <w:rFonts w:ascii="Calibri" w:hAnsi="Calibri" w:cs="ArialMT"/>
      <w:b/>
      <w:bCs/>
      <w:color w:val="026EA6"/>
      <w:kern w:val="0"/>
      <w:sz w:val="20"/>
      <w:szCs w:val="20"/>
    </w:rPr>
  </w:style>
  <w:style w:type="paragraph" w:customStyle="1" w:styleId="soussection">
    <w:name w:val="sous section"/>
    <w:basedOn w:val="Soustitre1"/>
    <w:link w:val="soussectionCar"/>
    <w:autoRedefine/>
    <w:qFormat/>
    <w:rsid w:val="00B94D14"/>
    <w:pPr>
      <w:numPr>
        <w:ilvl w:val="1"/>
      </w:numPr>
      <w:ind w:left="1134" w:hanging="425"/>
    </w:pPr>
  </w:style>
  <w:style w:type="character" w:customStyle="1" w:styleId="soussectionCar">
    <w:name w:val="sous section Car"/>
    <w:basedOn w:val="ParagraphedelisteCar"/>
    <w:link w:val="soussection"/>
    <w:rsid w:val="00B94D14"/>
    <w:rPr>
      <w:rFonts w:ascii="Calibri" w:hAnsi="Calibri" w:cs="ArialMT"/>
      <w:b/>
      <w:bCs/>
      <w:color w:val="026EA6"/>
      <w:kern w:val="0"/>
      <w:sz w:val="20"/>
      <w:szCs w:val="20"/>
    </w:rPr>
  </w:style>
  <w:style w:type="paragraph" w:customStyle="1" w:styleId="Style1">
    <w:name w:val="Style1"/>
    <w:basedOn w:val="Paragraphedeliste"/>
    <w:link w:val="Style1Car"/>
    <w:qFormat/>
    <w:rsid w:val="002E4A44"/>
    <w:pPr>
      <w:numPr>
        <w:ilvl w:val="2"/>
        <w:numId w:val="7"/>
      </w:numPr>
      <w:spacing w:before="240"/>
      <w:ind w:left="1276" w:hanging="142"/>
    </w:pPr>
    <w:rPr>
      <w:i/>
      <w:iCs/>
      <w:color w:val="026EA6"/>
    </w:rPr>
  </w:style>
  <w:style w:type="character" w:customStyle="1" w:styleId="Style1Car">
    <w:name w:val="Style1 Car"/>
    <w:basedOn w:val="ParagraphedelisteCar"/>
    <w:link w:val="Style1"/>
    <w:rsid w:val="002E4A44"/>
    <w:rPr>
      <w:rFonts w:ascii="Calibri" w:hAnsi="Calibri" w:cs="ArialMT"/>
      <w:i/>
      <w:iCs/>
      <w:color w:val="026EA6"/>
      <w:kern w:val="0"/>
      <w:sz w:val="20"/>
      <w:szCs w:val="20"/>
    </w:rPr>
  </w:style>
  <w:style w:type="character" w:styleId="Lienhypertextesuivivisit">
    <w:name w:val="FollowedHyperlink"/>
    <w:basedOn w:val="Policepardfaut"/>
    <w:uiPriority w:val="99"/>
    <w:semiHidden/>
    <w:unhideWhenUsed/>
    <w:rsid w:val="004104AA"/>
    <w:rPr>
      <w:color w:val="954F72" w:themeColor="followedHyperlink"/>
      <w:u w:val="single"/>
    </w:rPr>
  </w:style>
  <w:style w:type="paragraph" w:styleId="Rvision">
    <w:name w:val="Revision"/>
    <w:hidden/>
    <w:uiPriority w:val="99"/>
    <w:semiHidden/>
    <w:rsid w:val="008C3DF4"/>
    <w:pPr>
      <w:spacing w:after="0" w:line="240" w:lineRule="auto"/>
    </w:pPr>
    <w:rPr>
      <w:rFonts w:ascii="Calibri" w:hAnsi="Calibri" w:cs="ArialMT"/>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8066">
      <w:bodyDiv w:val="1"/>
      <w:marLeft w:val="0"/>
      <w:marRight w:val="0"/>
      <w:marTop w:val="0"/>
      <w:marBottom w:val="0"/>
      <w:divBdr>
        <w:top w:val="none" w:sz="0" w:space="0" w:color="auto"/>
        <w:left w:val="none" w:sz="0" w:space="0" w:color="auto"/>
        <w:bottom w:val="none" w:sz="0" w:space="0" w:color="auto"/>
        <w:right w:val="none" w:sz="0" w:space="0" w:color="auto"/>
      </w:divBdr>
    </w:div>
    <w:div w:id="71705422">
      <w:bodyDiv w:val="1"/>
      <w:marLeft w:val="0"/>
      <w:marRight w:val="0"/>
      <w:marTop w:val="0"/>
      <w:marBottom w:val="0"/>
      <w:divBdr>
        <w:top w:val="none" w:sz="0" w:space="0" w:color="auto"/>
        <w:left w:val="none" w:sz="0" w:space="0" w:color="auto"/>
        <w:bottom w:val="none" w:sz="0" w:space="0" w:color="auto"/>
        <w:right w:val="none" w:sz="0" w:space="0" w:color="auto"/>
      </w:divBdr>
    </w:div>
    <w:div w:id="282855044">
      <w:bodyDiv w:val="1"/>
      <w:marLeft w:val="0"/>
      <w:marRight w:val="0"/>
      <w:marTop w:val="0"/>
      <w:marBottom w:val="0"/>
      <w:divBdr>
        <w:top w:val="none" w:sz="0" w:space="0" w:color="auto"/>
        <w:left w:val="none" w:sz="0" w:space="0" w:color="auto"/>
        <w:bottom w:val="none" w:sz="0" w:space="0" w:color="auto"/>
        <w:right w:val="none" w:sz="0" w:space="0" w:color="auto"/>
      </w:divBdr>
    </w:div>
    <w:div w:id="569115658">
      <w:bodyDiv w:val="1"/>
      <w:marLeft w:val="0"/>
      <w:marRight w:val="0"/>
      <w:marTop w:val="0"/>
      <w:marBottom w:val="0"/>
      <w:divBdr>
        <w:top w:val="none" w:sz="0" w:space="0" w:color="auto"/>
        <w:left w:val="none" w:sz="0" w:space="0" w:color="auto"/>
        <w:bottom w:val="none" w:sz="0" w:space="0" w:color="auto"/>
        <w:right w:val="none" w:sz="0" w:space="0" w:color="auto"/>
      </w:divBdr>
    </w:div>
    <w:div w:id="694573002">
      <w:bodyDiv w:val="1"/>
      <w:marLeft w:val="0"/>
      <w:marRight w:val="0"/>
      <w:marTop w:val="0"/>
      <w:marBottom w:val="0"/>
      <w:divBdr>
        <w:top w:val="none" w:sz="0" w:space="0" w:color="auto"/>
        <w:left w:val="none" w:sz="0" w:space="0" w:color="auto"/>
        <w:bottom w:val="none" w:sz="0" w:space="0" w:color="auto"/>
        <w:right w:val="none" w:sz="0" w:space="0" w:color="auto"/>
      </w:divBdr>
    </w:div>
    <w:div w:id="833646645">
      <w:bodyDiv w:val="1"/>
      <w:marLeft w:val="0"/>
      <w:marRight w:val="0"/>
      <w:marTop w:val="0"/>
      <w:marBottom w:val="0"/>
      <w:divBdr>
        <w:top w:val="none" w:sz="0" w:space="0" w:color="auto"/>
        <w:left w:val="none" w:sz="0" w:space="0" w:color="auto"/>
        <w:bottom w:val="none" w:sz="0" w:space="0" w:color="auto"/>
        <w:right w:val="none" w:sz="0" w:space="0" w:color="auto"/>
      </w:divBdr>
    </w:div>
    <w:div w:id="875048188">
      <w:bodyDiv w:val="1"/>
      <w:marLeft w:val="0"/>
      <w:marRight w:val="0"/>
      <w:marTop w:val="0"/>
      <w:marBottom w:val="0"/>
      <w:divBdr>
        <w:top w:val="none" w:sz="0" w:space="0" w:color="auto"/>
        <w:left w:val="none" w:sz="0" w:space="0" w:color="auto"/>
        <w:bottom w:val="none" w:sz="0" w:space="0" w:color="auto"/>
        <w:right w:val="none" w:sz="0" w:space="0" w:color="auto"/>
      </w:divBdr>
    </w:div>
    <w:div w:id="1042052681">
      <w:bodyDiv w:val="1"/>
      <w:marLeft w:val="0"/>
      <w:marRight w:val="0"/>
      <w:marTop w:val="0"/>
      <w:marBottom w:val="0"/>
      <w:divBdr>
        <w:top w:val="none" w:sz="0" w:space="0" w:color="auto"/>
        <w:left w:val="none" w:sz="0" w:space="0" w:color="auto"/>
        <w:bottom w:val="none" w:sz="0" w:space="0" w:color="auto"/>
        <w:right w:val="none" w:sz="0" w:space="0" w:color="auto"/>
      </w:divBdr>
    </w:div>
    <w:div w:id="1051732024">
      <w:bodyDiv w:val="1"/>
      <w:marLeft w:val="0"/>
      <w:marRight w:val="0"/>
      <w:marTop w:val="0"/>
      <w:marBottom w:val="0"/>
      <w:divBdr>
        <w:top w:val="none" w:sz="0" w:space="0" w:color="auto"/>
        <w:left w:val="none" w:sz="0" w:space="0" w:color="auto"/>
        <w:bottom w:val="none" w:sz="0" w:space="0" w:color="auto"/>
        <w:right w:val="none" w:sz="0" w:space="0" w:color="auto"/>
      </w:divBdr>
    </w:div>
    <w:div w:id="1408188318">
      <w:bodyDiv w:val="1"/>
      <w:marLeft w:val="0"/>
      <w:marRight w:val="0"/>
      <w:marTop w:val="0"/>
      <w:marBottom w:val="0"/>
      <w:divBdr>
        <w:top w:val="none" w:sz="0" w:space="0" w:color="auto"/>
        <w:left w:val="none" w:sz="0" w:space="0" w:color="auto"/>
        <w:bottom w:val="none" w:sz="0" w:space="0" w:color="auto"/>
        <w:right w:val="none" w:sz="0" w:space="0" w:color="auto"/>
      </w:divBdr>
    </w:div>
    <w:div w:id="1435201172">
      <w:bodyDiv w:val="1"/>
      <w:marLeft w:val="0"/>
      <w:marRight w:val="0"/>
      <w:marTop w:val="0"/>
      <w:marBottom w:val="0"/>
      <w:divBdr>
        <w:top w:val="none" w:sz="0" w:space="0" w:color="auto"/>
        <w:left w:val="none" w:sz="0" w:space="0" w:color="auto"/>
        <w:bottom w:val="none" w:sz="0" w:space="0" w:color="auto"/>
        <w:right w:val="none" w:sz="0" w:space="0" w:color="auto"/>
      </w:divBdr>
    </w:div>
    <w:div w:id="1464232406">
      <w:bodyDiv w:val="1"/>
      <w:marLeft w:val="0"/>
      <w:marRight w:val="0"/>
      <w:marTop w:val="0"/>
      <w:marBottom w:val="0"/>
      <w:divBdr>
        <w:top w:val="none" w:sz="0" w:space="0" w:color="auto"/>
        <w:left w:val="none" w:sz="0" w:space="0" w:color="auto"/>
        <w:bottom w:val="none" w:sz="0" w:space="0" w:color="auto"/>
        <w:right w:val="none" w:sz="0" w:space="0" w:color="auto"/>
      </w:divBdr>
    </w:div>
    <w:div w:id="1813477935">
      <w:bodyDiv w:val="1"/>
      <w:marLeft w:val="0"/>
      <w:marRight w:val="0"/>
      <w:marTop w:val="0"/>
      <w:marBottom w:val="0"/>
      <w:divBdr>
        <w:top w:val="none" w:sz="0" w:space="0" w:color="auto"/>
        <w:left w:val="none" w:sz="0" w:space="0" w:color="auto"/>
        <w:bottom w:val="none" w:sz="0" w:space="0" w:color="auto"/>
        <w:right w:val="none" w:sz="0" w:space="0" w:color="auto"/>
      </w:divBdr>
    </w:div>
    <w:div w:id="1834298411">
      <w:bodyDiv w:val="1"/>
      <w:marLeft w:val="0"/>
      <w:marRight w:val="0"/>
      <w:marTop w:val="0"/>
      <w:marBottom w:val="0"/>
      <w:divBdr>
        <w:top w:val="none" w:sz="0" w:space="0" w:color="auto"/>
        <w:left w:val="none" w:sz="0" w:space="0" w:color="auto"/>
        <w:bottom w:val="none" w:sz="0" w:space="0" w:color="auto"/>
        <w:right w:val="none" w:sz="0" w:space="0" w:color="auto"/>
      </w:divBdr>
    </w:div>
    <w:div w:id="1923757023">
      <w:bodyDiv w:val="1"/>
      <w:marLeft w:val="0"/>
      <w:marRight w:val="0"/>
      <w:marTop w:val="0"/>
      <w:marBottom w:val="0"/>
      <w:divBdr>
        <w:top w:val="none" w:sz="0" w:space="0" w:color="auto"/>
        <w:left w:val="none" w:sz="0" w:space="0" w:color="auto"/>
        <w:bottom w:val="none" w:sz="0" w:space="0" w:color="auto"/>
        <w:right w:val="none" w:sz="0" w:space="0" w:color="auto"/>
      </w:divBdr>
    </w:div>
    <w:div w:id="2003659301">
      <w:bodyDiv w:val="1"/>
      <w:marLeft w:val="0"/>
      <w:marRight w:val="0"/>
      <w:marTop w:val="0"/>
      <w:marBottom w:val="0"/>
      <w:divBdr>
        <w:top w:val="none" w:sz="0" w:space="0" w:color="auto"/>
        <w:left w:val="none" w:sz="0" w:space="0" w:color="auto"/>
        <w:bottom w:val="none" w:sz="0" w:space="0" w:color="auto"/>
        <w:right w:val="none" w:sz="0" w:space="0" w:color="auto"/>
      </w:divBdr>
    </w:div>
    <w:div w:id="212094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fccc.int/process-and-meetings/the-paris-agree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mission.europa.eu/strategy-and-policy/priorities-2019-2024/european-green-deal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ma.europa.eu/sites/default/files/2025-02/ESMA32-1953674026-5808_Consultation_Paper_Guidelines_on_supplements_which_introduce_new_securities_to_a_base_prospectu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28">
      <a:dk1>
        <a:sysClr val="windowText" lastClr="000000"/>
      </a:dk1>
      <a:lt1>
        <a:sysClr val="window" lastClr="FFFFFF"/>
      </a:lt1>
      <a:dk2>
        <a:srgbClr val="44546A"/>
      </a:dk2>
      <a:lt2>
        <a:srgbClr val="E7E6E6"/>
      </a:lt2>
      <a:accent1>
        <a:srgbClr val="4F94C1"/>
      </a:accent1>
      <a:accent2>
        <a:srgbClr val="116B95"/>
      </a:accent2>
      <a:accent3>
        <a:srgbClr val="101516"/>
      </a:accent3>
      <a:accent4>
        <a:srgbClr val="C9E7D9"/>
      </a:accent4>
      <a:accent5>
        <a:srgbClr val="8E4E94"/>
      </a:accent5>
      <a:accent6>
        <a:srgbClr val="F68A24"/>
      </a:accent6>
      <a:hlink>
        <a:srgbClr val="0563C1"/>
      </a:hlink>
      <a:folHlink>
        <a:srgbClr val="954F72"/>
      </a:folHlink>
    </a:clrScheme>
    <a:fontScheme name="Personnalisé 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320B9F464054FA2FE653719241A07" ma:contentTypeVersion="19" ma:contentTypeDescription="Crée un document." ma:contentTypeScope="" ma:versionID="aa2990ce7346a8ddd2d7db793e38682f">
  <xsd:schema xmlns:xsd="http://www.w3.org/2001/XMLSchema" xmlns:xs="http://www.w3.org/2001/XMLSchema" xmlns:p="http://schemas.microsoft.com/office/2006/metadata/properties" xmlns:ns2="3493d938-54dc-49ea-ae3a-391a3c000925" xmlns:ns3="e625a815-686b-482d-b72d-0b41b8d86113" targetNamespace="http://schemas.microsoft.com/office/2006/metadata/properties" ma:root="true" ma:fieldsID="7ff095d96b5d110e95a2351088bdca27" ns2:_="" ns3:_="">
    <xsd:import namespace="3493d938-54dc-49ea-ae3a-391a3c000925"/>
    <xsd:import namespace="e625a815-686b-482d-b72d-0b41b8d861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3d938-54dc-49ea-ae3a-391a3c000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c6fcd274-55c3-4557-831b-7bdee9f67b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État de validation"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25a815-686b-482d-b72d-0b41b8d86113"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46819a0-7736-4bc7-9165-e63c51e794ea}" ma:internalName="TaxCatchAll" ma:showField="CatchAllData" ma:web="e625a815-686b-482d-b72d-0b41b8d861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625a815-686b-482d-b72d-0b41b8d86113" xsi:nil="true"/>
    <lcf76f155ced4ddcb4097134ff3c332f xmlns="3493d938-54dc-49ea-ae3a-391a3c000925">
      <Terms xmlns="http://schemas.microsoft.com/office/infopath/2007/PartnerControls"/>
    </lcf76f155ced4ddcb4097134ff3c332f>
    <_Flow_SignoffStatus xmlns="3493d938-54dc-49ea-ae3a-391a3c000925" xsi:nil="true"/>
  </documentManagement>
</p:properties>
</file>

<file path=customXml/itemProps1.xml><?xml version="1.0" encoding="utf-8"?>
<ds:datastoreItem xmlns:ds="http://schemas.openxmlformats.org/officeDocument/2006/customXml" ds:itemID="{A17049C9-C586-477F-81AE-36757D287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3d938-54dc-49ea-ae3a-391a3c000925"/>
    <ds:schemaRef ds:uri="e625a815-686b-482d-b72d-0b41b8d86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2B2B95-0340-4759-B80D-C4BC55B05CCD}">
  <ds:schemaRefs>
    <ds:schemaRef ds:uri="http://schemas.microsoft.com/sharepoint/v3/contenttype/forms"/>
  </ds:schemaRefs>
</ds:datastoreItem>
</file>

<file path=customXml/itemProps3.xml><?xml version="1.0" encoding="utf-8"?>
<ds:datastoreItem xmlns:ds="http://schemas.openxmlformats.org/officeDocument/2006/customXml" ds:itemID="{18FCCEE3-75B4-4AA6-8E52-FE945BB30368}">
  <ds:schemaRefs>
    <ds:schemaRef ds:uri="http://schemas.openxmlformats.org/officeDocument/2006/bibliography"/>
  </ds:schemaRefs>
</ds:datastoreItem>
</file>

<file path=customXml/itemProps4.xml><?xml version="1.0" encoding="utf-8"?>
<ds:datastoreItem xmlns:ds="http://schemas.openxmlformats.org/officeDocument/2006/customXml" ds:itemID="{E35B504D-3C27-4DB9-852D-AEB539B9B0F8}">
  <ds:schemaRefs>
    <ds:schemaRef ds:uri="http://schemas.microsoft.com/office/2006/metadata/properties"/>
    <ds:schemaRef ds:uri="http://schemas.microsoft.com/office/infopath/2007/PartnerControls"/>
    <ds:schemaRef ds:uri="e625a815-686b-482d-b72d-0b41b8d86113"/>
    <ds:schemaRef ds:uri="3493d938-54dc-49ea-ae3a-391a3c000925"/>
  </ds:schemaRefs>
</ds:datastoreItem>
</file>

<file path=docMetadata/LabelInfo.xml><?xml version="1.0" encoding="utf-8"?>
<clbl:labelList xmlns:clbl="http://schemas.microsoft.com/office/2020/mipLabelMetadata">
  <clbl:label id="{7ca959e3-a6b6-4e04-8f58-b9cb2a1fdf2a}" enabled="0" method="" siteId="{7ca959e3-a6b6-4e04-8f58-b9cb2a1fdf2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2918</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Besseau</dc:creator>
  <cp:keywords/>
  <dc:description/>
  <cp:lastModifiedBy>Valérie Voisin</cp:lastModifiedBy>
  <cp:revision>2</cp:revision>
  <cp:lastPrinted>2025-05-05T11:39:00Z</cp:lastPrinted>
  <dcterms:created xsi:type="dcterms:W3CDTF">2025-05-12T06:17:00Z</dcterms:created>
  <dcterms:modified xsi:type="dcterms:W3CDTF">2025-05-12T06:17:00Z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0x0101005E8320B9F464054FA2FE653719241A07</vt:lpwstr>
  </property>
  <property fmtid="{D5CDD505-2E9C-101B-9397-08002B2CF9AE}" pid="3" name="MediaServiceImageTags">
    <vt:lpwstr/>
  </property>
  <property fmtid="{D5CDD505-2E9C-101B-9397-08002B2CF9AE}" pid="4" name="MSIP_Label_a401b303-ecb1-4a9d-936a-70858c2d9a3e_Enabled">
    <vt:lpwstr>true</vt:lpwstr>
  </property>
  <property fmtid="{D5CDD505-2E9C-101B-9397-08002B2CF9AE}" pid="5" name="MSIP_Label_a401b303-ecb1-4a9d-936a-70858c2d9a3e_SetDate">
    <vt:lpwstr>2025-04-14T09:39:58Z</vt:lpwstr>
  </property>
  <property fmtid="{D5CDD505-2E9C-101B-9397-08002B2CF9AE}" pid="6" name="MSIP_Label_a401b303-ecb1-4a9d-936a-70858c2d9a3e_Method">
    <vt:lpwstr>Privileged</vt:lpwstr>
  </property>
  <property fmtid="{D5CDD505-2E9C-101B-9397-08002B2CF9AE}" pid="7" name="MSIP_Label_a401b303-ecb1-4a9d-936a-70858c2d9a3e_Name">
    <vt:lpwstr>a401b303-ecb1-4a9d-936a-70858c2d9a3e</vt:lpwstr>
  </property>
  <property fmtid="{D5CDD505-2E9C-101B-9397-08002B2CF9AE}" pid="8" name="MSIP_Label_a401b303-ecb1-4a9d-936a-70858c2d9a3e_SiteId">
    <vt:lpwstr>c9a7d621-4bc4-4407-b730-f428e656aa9e</vt:lpwstr>
  </property>
  <property fmtid="{D5CDD505-2E9C-101B-9397-08002B2CF9AE}" pid="9" name="MSIP_Label_a401b303-ecb1-4a9d-936a-70858c2d9a3e_ActionId">
    <vt:lpwstr>49e70981-6c83-4092-bfbe-8d5521151e14</vt:lpwstr>
  </property>
  <property fmtid="{D5CDD505-2E9C-101B-9397-08002B2CF9AE}" pid="10" name="MSIP_Label_a401b303-ecb1-4a9d-936a-70858c2d9a3e_ContentBits">
    <vt:lpwstr>0</vt:lpwstr>
  </property>
</Properties>
</file>